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7D26AA" w14:textId="3FB6E8B4" w:rsidR="005722EE" w:rsidRDefault="005722EE" w:rsidP="009C28DE">
      <w:pPr>
        <w:spacing w:after="0" w:line="240" w:lineRule="auto"/>
        <w:jc w:val="both"/>
        <w:rPr>
          <w:rFonts w:ascii="Arial" w:hAnsi="Arial" w:cs="Arial"/>
        </w:rPr>
      </w:pPr>
      <w:r w:rsidRPr="005722EE">
        <w:rPr>
          <w:rFonts w:ascii="Arial" w:hAnsi="Arial" w:cs="Arial"/>
        </w:rPr>
        <w:drawing>
          <wp:inline distT="0" distB="0" distL="0" distR="0" wp14:anchorId="09492787" wp14:editId="567E20A3">
            <wp:extent cx="5461000" cy="1422400"/>
            <wp:effectExtent l="0" t="0" r="0" b="0"/>
            <wp:docPr id="373324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2439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1053C" w14:textId="2938A776" w:rsidR="009C28DE" w:rsidRDefault="009C28DE" w:rsidP="009C28DE">
      <w:pPr>
        <w:spacing w:after="0" w:line="240" w:lineRule="auto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9B4FA" wp14:editId="0C7A8845">
                <wp:simplePos x="0" y="0"/>
                <wp:positionH relativeFrom="column">
                  <wp:posOffset>20320</wp:posOffset>
                </wp:positionH>
                <wp:positionV relativeFrom="paragraph">
                  <wp:posOffset>10160</wp:posOffset>
                </wp:positionV>
                <wp:extent cx="5852160" cy="1066800"/>
                <wp:effectExtent l="0" t="0" r="15240" b="12700"/>
                <wp:wrapNone/>
                <wp:docPr id="15348189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165D80" w14:textId="7BF37048" w:rsidR="009C28DE" w:rsidRPr="009C28DE" w:rsidRDefault="009C28D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C28D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We have a track record of providing expert technical and methodological to support writing for publication and reports for academic papers, textbooks, Government, health and social care </w:t>
                            </w:r>
                            <w:proofErr w:type="spellStart"/>
                            <w:r w:rsidRPr="009C28D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organisations</w:t>
                            </w:r>
                            <w:proofErr w:type="spellEnd"/>
                            <w:r w:rsidRPr="009C28D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and the third sector.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9B4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.6pt;margin-top:.8pt;width:460.8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hSIEOAIAAH0EAAAOAAAAZHJzL2Uyb0RvYy54bWysVE1v2zAMvQ/YfxB0X2xnSZYZcYosRYYB&#13;&#10;RVsgHXpWZCk2JouapMTOfv0oxfnqdhp2kUmReiQfSc/uukaRvbCuBl3QbJBSIjSHstbbgn5/WX2Y&#13;&#10;UuI80yVToEVBD8LRu/n7d7PW5GIIFahSWIIg2uWtKWjlvcmTxPFKNMwNwAiNRgm2YR5Vu01Ky1pE&#13;&#10;b1QyTNNJ0oItjQUunMPb+6ORziO+lIL7Jymd8EQVFHPz8bTx3IQzmc9YvrXMVDXv02D/kEXDao1B&#13;&#10;z1D3zDOys/UfUE3NLTiQfsChSUDKmotYA1aTpW+qWVfMiFgLkuPMmSb3/2D5435tni3x3RfosIGB&#13;&#10;kNa43OFlqKeTtglfzJSgHSk8nGkTnSccL8fT8TCboImjLUsnk2kaiU0uz411/quAhgShoBb7Euli&#13;&#10;+wfnMSS6nlxCNAeqLle1UlEJsyCWypI9wy4qH5PEFzdeSpO2oJOP4zQC39gC9Pn9RjH+I5R5i4Ca&#13;&#10;0nh5KT5Ivtt0PSMbKA9IlIXjDDnDVzXiPjDnn5nFoUECcBH8Ex5SASYDvURJBfbX3+6DP/YSrZS0&#13;&#10;OIQFdT93zApK1DeNXf6cjUZhaqMyGn8aomKvLZtri941S0CGMlw5w6MY/L06idJC84r7sghR0cQ0&#13;&#10;x9gF9Sdx6Y+rgfvGxWIRnXBODfMPem14gA4dCXy+dK/Mmr6fHkfhEU7jyvI3bT36hpcaFjsPso49&#13;&#10;DwQfWe15xxmPben3MSzRtR69Ln+N+W8AAAD//wMAUEsDBBQABgAIAAAAIQAjlGmc3QAAAAwBAAAP&#13;&#10;AAAAZHJzL2Rvd25yZXYueG1sTE/LTsMwELwj8Q/WInGjDgFFSRqn4lG4cKIgztvYtS1iO7LdNPw9&#13;&#10;2xNcVpqd3Xl0m8WNbFYx2eAF3K4KYMoPQVqvBXx+vNzUwFJGL3EMXgn4UQk2/eVFh60MJ/+u5l3W&#13;&#10;jER8alGAyXlqOU+DUQ7TKkzKE3cI0WEmGDWXEU8k7kZeFkXFHVpPDgYn9WTU8L07OgHbR93oocZo&#13;&#10;trW0dl6+Dm/6VYjrq+V5TeNhDSyrJf99wLkD5Yeegu3D0cvERgF3JR3SugJGbFPeU5v9GTcV8L7j&#13;&#10;/0v0vwAAAP//AwBQSwECLQAUAAYACAAAACEAtoM4kv4AAADhAQAAEwAAAAAAAAAAAAAAAAAAAAAA&#13;&#10;W0NvbnRlbnRfVHlwZXNdLnhtbFBLAQItABQABgAIAAAAIQA4/SH/1gAAAJQBAAALAAAAAAAAAAAA&#13;&#10;AAAAAC8BAABfcmVscy8ucmVsc1BLAQItABQABgAIAAAAIQA7hSIEOAIAAH0EAAAOAAAAAAAAAAAA&#13;&#10;AAAAAC4CAABkcnMvZTJvRG9jLnhtbFBLAQItABQABgAIAAAAIQAjlGmc3QAAAAwBAAAPAAAAAAAA&#13;&#10;AAAAAAAAAJIEAABkcnMvZG93bnJldi54bWxQSwUGAAAAAAQABADzAAAAnAUAAAAA&#13;&#10;" fillcolor="white [3201]" strokeweight=".5pt">
                <v:textbox>
                  <w:txbxContent>
                    <w:p w14:paraId="43165D80" w14:textId="7BF37048" w:rsidR="009C28DE" w:rsidRPr="009C28DE" w:rsidRDefault="009C28DE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9C28D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We have a track record of providing expert technical and methodological to support writing for publication and reports for academic papers, textbooks, Government, health and social care </w:t>
                      </w:r>
                      <w:proofErr w:type="spellStart"/>
                      <w:r w:rsidRPr="009C28D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>organisations</w:t>
                      </w:r>
                      <w:proofErr w:type="spellEnd"/>
                      <w:r w:rsidRPr="009C28D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and the third sector.</w:t>
                      </w:r>
                    </w:p>
                  </w:txbxContent>
                </v:textbox>
              </v:shape>
            </w:pict>
          </mc:Fallback>
        </mc:AlternateContent>
      </w:r>
    </w:p>
    <w:p w14:paraId="577D418B" w14:textId="5C55DE42" w:rsidR="009C28DE" w:rsidRDefault="009C28DE" w:rsidP="009C28DE">
      <w:pPr>
        <w:spacing w:after="0" w:line="240" w:lineRule="auto"/>
        <w:jc w:val="both"/>
        <w:rPr>
          <w:rFonts w:ascii="Arial" w:hAnsi="Arial" w:cs="Arial"/>
        </w:rPr>
      </w:pPr>
    </w:p>
    <w:p w14:paraId="212B40A6" w14:textId="33BDF1EA" w:rsidR="009C28DE" w:rsidRDefault="009C28DE" w:rsidP="009C28DE">
      <w:pPr>
        <w:spacing w:after="0" w:line="240" w:lineRule="auto"/>
        <w:jc w:val="both"/>
        <w:rPr>
          <w:rFonts w:ascii="Arial" w:hAnsi="Arial" w:cs="Arial"/>
        </w:rPr>
      </w:pPr>
    </w:p>
    <w:p w14:paraId="5A55DD6D" w14:textId="77777777" w:rsidR="009C28DE" w:rsidRDefault="009C28DE" w:rsidP="009C28DE">
      <w:pPr>
        <w:spacing w:after="0" w:line="240" w:lineRule="auto"/>
        <w:jc w:val="both"/>
        <w:rPr>
          <w:rFonts w:ascii="Arial" w:hAnsi="Arial" w:cs="Arial"/>
        </w:rPr>
      </w:pPr>
    </w:p>
    <w:p w14:paraId="006D1988" w14:textId="77777777" w:rsidR="009C28DE" w:rsidRDefault="009C28DE" w:rsidP="009C28DE">
      <w:pPr>
        <w:spacing w:after="0" w:line="240" w:lineRule="auto"/>
        <w:jc w:val="both"/>
        <w:rPr>
          <w:rFonts w:ascii="Arial" w:hAnsi="Arial" w:cs="Arial"/>
        </w:rPr>
      </w:pPr>
    </w:p>
    <w:p w14:paraId="72E41880" w14:textId="3D743133" w:rsidR="009C28DE" w:rsidRDefault="009C28DE" w:rsidP="009C28DE">
      <w:pPr>
        <w:spacing w:after="0" w:line="240" w:lineRule="auto"/>
        <w:jc w:val="both"/>
        <w:rPr>
          <w:rFonts w:ascii="Arial" w:hAnsi="Arial" w:cs="Arial"/>
        </w:rPr>
      </w:pPr>
    </w:p>
    <w:p w14:paraId="3FF9D373" w14:textId="2A3B114D" w:rsidR="009C28DE" w:rsidRDefault="009C28DE" w:rsidP="009C28DE">
      <w:pPr>
        <w:spacing w:after="0" w:line="240" w:lineRule="auto"/>
        <w:jc w:val="both"/>
        <w:rPr>
          <w:rFonts w:ascii="Arial" w:hAnsi="Arial" w:cs="Arial"/>
        </w:rPr>
      </w:pPr>
    </w:p>
    <w:p w14:paraId="44C1725D" w14:textId="7965B2C8" w:rsidR="009C28DE" w:rsidRDefault="009C28DE" w:rsidP="009C28D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896DF" wp14:editId="787E5AD0">
                <wp:simplePos x="0" y="0"/>
                <wp:positionH relativeFrom="column">
                  <wp:posOffset>121920</wp:posOffset>
                </wp:positionH>
                <wp:positionV relativeFrom="paragraph">
                  <wp:posOffset>83820</wp:posOffset>
                </wp:positionV>
                <wp:extent cx="5750560" cy="467360"/>
                <wp:effectExtent l="0" t="0" r="15240" b="15240"/>
                <wp:wrapNone/>
                <wp:docPr id="187760597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0560" cy="46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C9359" w14:textId="58B2428E" w:rsidR="009C28DE" w:rsidRPr="005B6AA4" w:rsidRDefault="005B6A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B6AA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Literature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reviews/Evidence Synthesis </w:t>
                            </w:r>
                          </w:p>
                          <w:p w14:paraId="3F8F9BBB" w14:textId="77777777" w:rsidR="009C28DE" w:rsidRDefault="009C28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896DF" id="Text Box 6" o:spid="_x0000_s1027" type="#_x0000_t202" style="position:absolute;left:0;text-align:left;margin-left:9.6pt;margin-top:6.6pt;width:452.8pt;height:36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AwvLOQIAAIMEAAAOAAAAZHJzL2Uyb0RvYy54bWysVE1v2zAMvQ/YfxB0X+ykSdoZcYosRYYB&#13;&#10;QVsgHXpWZCk2JouapMTOfv0o2flot9Owi0yJ1BP5+OjZfVsrchDWVaBzOhyklAjNoaj0LqffX1af&#13;&#10;7ihxnumCKdAip0fh6P3844dZYzIxghJUISxBEO2yxuS09N5kSeJ4KWrmBmCERqcEWzOPW7tLCssa&#13;&#10;RK9VMkrTadKALYwFLpzD04fOSecRX0rB/ZOUTniicoq5+bjauG7DmsxnLNtZZsqK92mwf8iiZpXG&#13;&#10;R89QD8wzsrfVH1B1xS04kH7AoU5AyoqLWANWM0zfVbMpmRGxFiTHmTNN7v/B8sfDxjxb4tsv0GID&#13;&#10;AyGNcZnDw1BPK20dvpgpQT9SeDzTJlpPOB5ObifpZIoujr7x9PYGbYRJLreNdf6rgJoEI6cW2xLZ&#13;&#10;Yoe1813oKSQ85kBVxapSKm6CFMRSWXJg2ETlY44I/iZKadLkdHozSSPwG1+APt/fKsZ/9OldRSGe&#13;&#10;0pjzpfZg+Xbbkqq44mULxRHpstApyRm+qhB+zZx/ZhalgzTgOPgnXKQCzAl6i5IS7K+/nYd47Ch6&#13;&#10;KWlQijl1P/fMCkrUN429/jwcj4N242Y8uR3hxl57ttceva+XgEQNcfAMj2aI9+pkSgv1K07NIryK&#13;&#10;LqY5vp1TfzKXvhsQnDouFosYhGo1zK/1xvAAHRoTaH1pX5k1fVs9CuIRTqJl2bvudrHhpobF3oOs&#13;&#10;YusDzx2rPf2o9CiefirDKF3vY9Tl3zH/DQAA//8DAFBLAwQUAAYACAAAACEAyaHWcN4AAAANAQAA&#13;&#10;DwAAAGRycy9kb3ducmV2LnhtbExPy07DMBC8I/EP1iJxo04Dqpw0TsWjcOFEQZy3setYje3IdtPw&#13;&#10;9ywnetnRaHZnZ5rN7AY26Zhs8BKWiwKY9l1Q1hsJX5+vdwJYyugVDsFrCT86waa9vmqwVuHsP/S0&#13;&#10;y4aRiU81SuhzHmvOU9drh2kRRu1JO4ToMBONhquIZzJ3Ay+LYsUdWk8fehz1c6+74+7kJGyfTGU6&#13;&#10;gbHfCmXtNH8f3s2blLc388uaxuMaWNZz/r+Avw6UH1oKtg8nrxIbiFclbRLeE5JelQ/UZy9BrATw&#13;&#10;tuGXLdpfAAAA//8DAFBLAQItABQABgAIAAAAIQC2gziS/gAAAOEBAAATAAAAAAAAAAAAAAAAAAAA&#13;&#10;AABbQ29udGVudF9UeXBlc10ueG1sUEsBAi0AFAAGAAgAAAAhADj9If/WAAAAlAEAAAsAAAAAAAAA&#13;&#10;AAAAAAAALwEAAF9yZWxzLy5yZWxzUEsBAi0AFAAGAAgAAAAhAO0DC8s5AgAAgwQAAA4AAAAAAAAA&#13;&#10;AAAAAAAALgIAAGRycy9lMm9Eb2MueG1sUEsBAi0AFAAGAAgAAAAhAMmh1nDeAAAADQEAAA8AAAAA&#13;&#10;AAAAAAAAAAAAkwQAAGRycy9kb3ducmV2LnhtbFBLBQYAAAAABAAEAPMAAACeBQAAAAA=&#13;&#10;" fillcolor="white [3201]" strokeweight=".5pt">
                <v:textbox>
                  <w:txbxContent>
                    <w:p w14:paraId="02FC9359" w14:textId="58B2428E" w:rsidR="009C28DE" w:rsidRPr="005B6AA4" w:rsidRDefault="005B6AA4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5B6AA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Literature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reviews/Evidence Synthesis </w:t>
                      </w:r>
                    </w:p>
                    <w:p w14:paraId="3F8F9BBB" w14:textId="77777777" w:rsidR="009C28DE" w:rsidRDefault="009C28DE"/>
                  </w:txbxContent>
                </v:textbox>
              </v:shape>
            </w:pict>
          </mc:Fallback>
        </mc:AlternateContent>
      </w:r>
    </w:p>
    <w:p w14:paraId="47E21CE2" w14:textId="77777777" w:rsidR="009C28DE" w:rsidRDefault="009C28DE" w:rsidP="009C28DE">
      <w:pPr>
        <w:spacing w:after="0" w:line="240" w:lineRule="auto"/>
        <w:jc w:val="both"/>
        <w:rPr>
          <w:rFonts w:ascii="Arial" w:hAnsi="Arial" w:cs="Arial"/>
        </w:rPr>
      </w:pPr>
    </w:p>
    <w:p w14:paraId="17B31A84" w14:textId="77777777" w:rsidR="009C28DE" w:rsidRDefault="009C28DE" w:rsidP="009C28DE">
      <w:pPr>
        <w:spacing w:after="0" w:line="240" w:lineRule="auto"/>
        <w:jc w:val="both"/>
        <w:rPr>
          <w:rFonts w:ascii="Arial" w:hAnsi="Arial" w:cs="Arial"/>
        </w:rPr>
      </w:pPr>
    </w:p>
    <w:p w14:paraId="2FA3CDE9" w14:textId="77777777" w:rsidR="009C28DE" w:rsidRDefault="009C28DE" w:rsidP="009C28DE">
      <w:pPr>
        <w:spacing w:after="0" w:line="240" w:lineRule="auto"/>
        <w:jc w:val="both"/>
        <w:rPr>
          <w:rFonts w:ascii="Arial" w:hAnsi="Arial" w:cs="Arial"/>
        </w:rPr>
      </w:pPr>
    </w:p>
    <w:p w14:paraId="6E31A742" w14:textId="220879EC" w:rsidR="009C28DE" w:rsidRPr="009C28DE" w:rsidRDefault="009C28DE" w:rsidP="009C28D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C28DE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>Pow, J.,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 xml:space="preserve"> Clarke, L., McHale, S., &amp; </w:t>
      </w:r>
      <w:r w:rsidRPr="009C28DE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>Gray-Brunton, C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>. (2025). A systematic review and thematic synthesis exploring how gay, bisexual and other men who have sex with men (GBMSM) experience HPV and HPV vaccination. </w:t>
      </w:r>
      <w:r w:rsidRPr="009C28DE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Human Vaccines &amp; Immunotherapeutics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>, </w:t>
      </w:r>
      <w:r w:rsidRPr="009C28DE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21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>(1). </w:t>
      </w:r>
      <w:hyperlink r:id="rId6" w:tooltip="https://doi.org/10.1080/21645515.2025.2490440" w:history="1">
        <w:r w:rsidRPr="009C28DE">
          <w:rPr>
            <w:rFonts w:ascii="Arial" w:eastAsia="Times New Roman" w:hAnsi="Arial" w:cs="Arial"/>
            <w:color w:val="1155CC"/>
            <w:kern w:val="0"/>
            <w:u w:val="single"/>
            <w:lang w:eastAsia="en-GB"/>
          </w:rPr>
          <w:t>https://doi.org/10.1080/21645515.2025.2490440</w:t>
        </w:r>
      </w:hyperlink>
    </w:p>
    <w:p w14:paraId="01EA8FEF" w14:textId="7C576752" w:rsidR="009C28DE" w:rsidRPr="009C28DE" w:rsidRDefault="009C28DE" w:rsidP="009C28D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C28DE">
        <w:rPr>
          <w:rFonts w:ascii="Arial" w:hAnsi="Arial" w:cs="Arial"/>
        </w:rPr>
        <w:t xml:space="preserve">McInally, W., </w:t>
      </w:r>
      <w:r w:rsidRPr="009C28DE">
        <w:rPr>
          <w:rFonts w:ascii="Arial" w:hAnsi="Arial" w:cs="Arial"/>
          <w:b/>
          <w:bCs/>
        </w:rPr>
        <w:t>Gray Brunton, C.,</w:t>
      </w:r>
      <w:r w:rsidRPr="009C28DE">
        <w:rPr>
          <w:rFonts w:ascii="Arial" w:hAnsi="Arial" w:cs="Arial"/>
        </w:rPr>
        <w:t xml:space="preserve"> </w:t>
      </w:r>
      <w:proofErr w:type="spellStart"/>
      <w:r w:rsidRPr="009C28DE">
        <w:rPr>
          <w:rFonts w:ascii="Arial" w:hAnsi="Arial" w:cs="Arial"/>
        </w:rPr>
        <w:t>Chouliara</w:t>
      </w:r>
      <w:proofErr w:type="spellEnd"/>
      <w:r w:rsidRPr="009C28DE">
        <w:rPr>
          <w:rFonts w:ascii="Arial" w:hAnsi="Arial" w:cs="Arial"/>
        </w:rPr>
        <w:t>, Z. &amp; Kyle, R. (2021). Experiences of living with cancer of adolescents and young adults and their families: A narrative review and synthesis</w:t>
      </w:r>
      <w:r w:rsidRPr="009C28DE">
        <w:rPr>
          <w:rFonts w:ascii="Arial" w:eastAsia="Calibri" w:hAnsi="Arial" w:cs="Arial"/>
          <w:i/>
          <w:iCs/>
          <w:color w:val="000000"/>
        </w:rPr>
        <w:t xml:space="preserve">. </w:t>
      </w:r>
      <w:proofErr w:type="spellStart"/>
      <w:r w:rsidRPr="009C28DE">
        <w:rPr>
          <w:rFonts w:ascii="Arial" w:eastAsia="Calibri" w:hAnsi="Arial" w:cs="Arial"/>
          <w:i/>
          <w:iCs/>
          <w:color w:val="000000"/>
        </w:rPr>
        <w:t>Enfermería</w:t>
      </w:r>
      <w:proofErr w:type="spellEnd"/>
      <w:r w:rsidRPr="009C28DE">
        <w:rPr>
          <w:rFonts w:ascii="Arial" w:eastAsia="Calibri" w:hAnsi="Arial" w:cs="Arial"/>
          <w:i/>
          <w:iCs/>
          <w:color w:val="000000"/>
        </w:rPr>
        <w:t xml:space="preserve"> Clínica</w:t>
      </w:r>
      <w:r w:rsidRPr="009C28DE">
        <w:rPr>
          <w:rFonts w:ascii="Arial" w:hAnsi="Arial" w:cs="Arial"/>
        </w:rPr>
        <w:t xml:space="preserve">, 31(4): 234-246. </w:t>
      </w:r>
      <w:hyperlink r:id="rId7" w:history="1">
        <w:r w:rsidRPr="009C28DE">
          <w:rPr>
            <w:rStyle w:val="Hyperlink"/>
            <w:rFonts w:ascii="Arial" w:hAnsi="Arial" w:cs="Arial"/>
          </w:rPr>
          <w:t>https://www.sciencedirect.com/science/article/abs/pii/S2445147921000631</w:t>
        </w:r>
      </w:hyperlink>
    </w:p>
    <w:p w14:paraId="1EA0682B" w14:textId="51503A5D" w:rsidR="009C28DE" w:rsidRPr="009C28DE" w:rsidRDefault="009C28DE" w:rsidP="009C28D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9C28DE">
        <w:rPr>
          <w:rFonts w:ascii="Arial" w:eastAsia="Times New Roman" w:hAnsi="Arial" w:cs="Arial"/>
          <w:color w:val="333333"/>
          <w:kern w:val="0"/>
          <w:lang w:eastAsia="en-GB"/>
        </w:rPr>
        <w:t>Kennedy C, Brooks-Young P, </w:t>
      </w:r>
      <w:r w:rsidRPr="009C28DE">
        <w:rPr>
          <w:rFonts w:ascii="Arial" w:eastAsia="Times New Roman" w:hAnsi="Arial" w:cs="Arial"/>
          <w:b/>
          <w:bCs/>
          <w:color w:val="333333"/>
          <w:kern w:val="0"/>
          <w:lang w:eastAsia="en-GB"/>
        </w:rPr>
        <w:t>Brunton Gray C</w:t>
      </w:r>
      <w:r w:rsidRPr="009C28DE">
        <w:rPr>
          <w:rFonts w:ascii="Arial" w:eastAsia="Times New Roman" w:hAnsi="Arial" w:cs="Arial"/>
          <w:i/>
          <w:iCs/>
          <w:color w:val="333333"/>
          <w:kern w:val="0"/>
          <w:lang w:eastAsia="en-GB"/>
        </w:rPr>
        <w:t xml:space="preserve">, et al </w:t>
      </w:r>
      <w:r w:rsidRPr="009C28DE">
        <w:rPr>
          <w:rFonts w:ascii="Arial" w:eastAsia="Times New Roman" w:hAnsi="Arial" w:cs="Arial"/>
          <w:color w:val="333333"/>
          <w:kern w:val="0"/>
          <w:lang w:eastAsia="en-GB"/>
        </w:rPr>
        <w:t xml:space="preserve">Diagnosing dying: an integrative literature review </w:t>
      </w:r>
      <w:r w:rsidRPr="009C28DE">
        <w:rPr>
          <w:rFonts w:ascii="Arial" w:eastAsia="Times New Roman" w:hAnsi="Arial" w:cs="Arial"/>
          <w:i/>
          <w:iCs/>
          <w:color w:val="333333"/>
          <w:kern w:val="0"/>
          <w:lang w:eastAsia="en-GB"/>
        </w:rPr>
        <w:t>BMJ Supportive &amp; Palliative Care </w:t>
      </w:r>
      <w:r w:rsidRPr="009C28DE">
        <w:rPr>
          <w:rFonts w:ascii="Arial" w:eastAsia="Times New Roman" w:hAnsi="Arial" w:cs="Arial"/>
          <w:color w:val="333333"/>
          <w:kern w:val="0"/>
          <w:lang w:eastAsia="en-GB"/>
        </w:rPr>
        <w:t>2014;</w:t>
      </w:r>
      <w:r w:rsidRPr="009C28DE">
        <w:rPr>
          <w:rFonts w:ascii="Arial" w:eastAsia="Times New Roman" w:hAnsi="Arial" w:cs="Arial"/>
          <w:b/>
          <w:bCs/>
          <w:color w:val="333333"/>
          <w:kern w:val="0"/>
          <w:lang w:eastAsia="en-GB"/>
        </w:rPr>
        <w:t>4:</w:t>
      </w:r>
      <w:r w:rsidRPr="009C28DE">
        <w:rPr>
          <w:rFonts w:ascii="Arial" w:eastAsia="Times New Roman" w:hAnsi="Arial" w:cs="Arial"/>
          <w:color w:val="333333"/>
          <w:kern w:val="0"/>
          <w:lang w:eastAsia="en-GB"/>
        </w:rPr>
        <w:t>263-270</w:t>
      </w:r>
    </w:p>
    <w:p w14:paraId="0AC8F0C6" w14:textId="702E875E" w:rsidR="009C28DE" w:rsidRPr="009C28DE" w:rsidRDefault="009C28DE" w:rsidP="009C28DE">
      <w:pPr>
        <w:pStyle w:val="ListParagraph"/>
        <w:shd w:val="clear" w:color="auto" w:fill="FFFFFF"/>
        <w:spacing w:after="0" w:line="240" w:lineRule="auto"/>
        <w:rPr>
          <w:rFonts w:ascii="Arial" w:hAnsi="Arial" w:cs="Arial"/>
        </w:rPr>
      </w:pPr>
      <w:hyperlink r:id="rId8" w:history="1">
        <w:r w:rsidRPr="009C28DE">
          <w:rPr>
            <w:rStyle w:val="Hyperlink"/>
            <w:rFonts w:ascii="Arial" w:eastAsia="Times New Roman" w:hAnsi="Arial" w:cs="Arial"/>
            <w:kern w:val="0"/>
            <w:lang w:eastAsia="en-GB"/>
          </w:rPr>
          <w:t>https://spcare.bmj.com/content/4/3/263</w:t>
        </w:r>
      </w:hyperlink>
    </w:p>
    <w:p w14:paraId="1B5D1A28" w14:textId="09F8E98E" w:rsidR="00B20C61" w:rsidRDefault="009C28D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2D652" wp14:editId="200EB4CD">
                <wp:simplePos x="0" y="0"/>
                <wp:positionH relativeFrom="column">
                  <wp:posOffset>121920</wp:posOffset>
                </wp:positionH>
                <wp:positionV relativeFrom="paragraph">
                  <wp:posOffset>224155</wp:posOffset>
                </wp:positionV>
                <wp:extent cx="5913120" cy="568960"/>
                <wp:effectExtent l="0" t="0" r="17780" b="15240"/>
                <wp:wrapNone/>
                <wp:docPr id="5052285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3120" cy="56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B3F075" w14:textId="2BDF8CE8" w:rsidR="009C28DE" w:rsidRPr="005B6AA4" w:rsidRDefault="009C28D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B6AA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Our research focusing on health equity amongst underserved communities and the Human Papillomavirus (HPV) Vaccine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2D652" id="Text Box 3" o:spid="_x0000_s1028" type="#_x0000_t202" style="position:absolute;margin-left:9.6pt;margin-top:17.65pt;width:465.6pt;height:4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q19xOwIAAIMEAAAOAAAAZHJzL2Uyb0RvYy54bWysVE2PGjEMvVfqf4hyL8OwQBfEsKKsqCqh&#13;&#10;3ZXYas8hkzBRM3GaBGbor68Tvrc9Vb1k7Nh5tp/tmTy0tSY74bwCU9C806VEGA6lMpuCfn9dfLqn&#13;&#10;xAdmSqbBiILuhacP048fJo0dix5UoEvhCIIYP25sQasQ7DjLPK9EzXwHrDBolOBqFlB1m6x0rEH0&#13;&#10;Wme9bneYNeBK64AL7/H28WCk04QvpeDhWUovAtEFxdxCOl061/HMphM23jhmK8WPabB/yKJmymDQ&#13;&#10;M9QjC4xsnfoDqlbcgQcZOhzqDKRUXKQasJq8+66aVcWsSLUgOd6eafL/D5Y/7Vb2xZHQfoEWGxgJ&#13;&#10;aawfe7yM9bTS1fGLmRK0I4X7M22iDYTj5WCU3+U9NHG0DYb3o2HiNbu8ts6HrwJqEoWCOmxLYovt&#13;&#10;lj5gRHQ9ucRgHrQqF0rrpMRREHPtyI5hE3VIOeKLGy9tSFPQ4d2gm4BvbBH6/H6tGf8Rq7xFQE0b&#13;&#10;vLzUHqXQrluiyoL2TrysodwjXQ4Ok+QtXyiEXzIfXpjD0UEacB3CMx5SA+YER4mSCtyvv91Hf+wo&#13;&#10;WilpcBQL6n9umROU6G8Gez3K+/04u0npDz5Hqt21ZX1tMdt6DkhUjotneRKjf9AnUTqo33BrZjEq&#13;&#10;mpjhGLug4STOw2FBcOu4mM2SE06rZWFpVpZH6NiYSOtr+8acPbY14EA8wWlo2fhddw++8aWB2TaA&#13;&#10;VKn1kecDq0f6cdJTd45bGVfpWk9el3/H9DcAAAD//wMAUEsDBBQABgAIAAAAIQCMb3Yk4QAAAA4B&#13;&#10;AAAPAAAAZHJzL2Rvd25yZXYueG1sTI/NTsMwEITvSLyDtUjcqEPaoiSNU/FTuHCiIM5u7NoW8Tqy&#13;&#10;3TS8PcsJLiuNvt3ZmXY7+4FNOiYXUMDtogCmsQ/KoRHw8f58UwFLWaKSQ0At4Fsn2HaXF61sVDjj&#13;&#10;m5722TAywdRIATbnseE89VZ7mRZh1EjsGKKXmWQ0XEV5JnM/8LIo7riXDumDlaN+tLr/2p+8gN2D&#13;&#10;qU1fyWh3lXJumj+Pr+ZFiOur+WlD434DLOs5/13AbwfKDx0FO4QTqsQG0nVJmwKW6yUw4vW6WAE7&#13;&#10;EChXNfCu5f9rdD8AAAD//wMAUEsBAi0AFAAGAAgAAAAhALaDOJL+AAAA4QEAABMAAAAAAAAAAAAA&#13;&#10;AAAAAAAAAFtDb250ZW50X1R5cGVzXS54bWxQSwECLQAUAAYACAAAACEAOP0h/9YAAACUAQAACwAA&#13;&#10;AAAAAAAAAAAAAAAvAQAAX3JlbHMvLnJlbHNQSwECLQAUAAYACAAAACEACKtfcTsCAACDBAAADgAA&#13;&#10;AAAAAAAAAAAAAAAuAgAAZHJzL2Uyb0RvYy54bWxQSwECLQAUAAYACAAAACEAjG92JOEAAAAOAQAA&#13;&#10;DwAAAAAAAAAAAAAAAACVBAAAZHJzL2Rvd25yZXYueG1sUEsFBgAAAAAEAAQA8wAAAKMFAAAAAA==&#13;&#10;" fillcolor="white [3201]" strokeweight=".5pt">
                <v:textbox>
                  <w:txbxContent>
                    <w:p w14:paraId="12B3F075" w14:textId="2BDF8CE8" w:rsidR="009C28DE" w:rsidRPr="005B6AA4" w:rsidRDefault="009C28DE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5B6AA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Our research focusing on health equity amongst underserved communities and the Human Papillomavirus (HPV) Vaccine </w:t>
                      </w:r>
                    </w:p>
                  </w:txbxContent>
                </v:textbox>
              </v:shape>
            </w:pict>
          </mc:Fallback>
        </mc:AlternateContent>
      </w:r>
    </w:p>
    <w:p w14:paraId="7F60E211" w14:textId="34ECF09F" w:rsidR="009C28DE" w:rsidRDefault="009C28DE"/>
    <w:p w14:paraId="6404E4F9" w14:textId="1CECBB39" w:rsidR="009C28DE" w:rsidRDefault="009C28DE"/>
    <w:p w14:paraId="26A0CE6C" w14:textId="3B9653FF" w:rsidR="009C28DE" w:rsidRPr="009C28DE" w:rsidRDefault="009C28DE" w:rsidP="009C28D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C28DE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 xml:space="preserve">A Chapter contribution for a British Psychological Society Textbook on Community Health Psychology: An Introductory Approach to Critical Public Health: </w:t>
      </w:r>
      <w:r w:rsidRPr="009C28DE">
        <w:rPr>
          <w:rFonts w:ascii="Arial" w:eastAsia="Calibri" w:hAnsi="Arial" w:cs="Arial"/>
          <w:b/>
          <w:bCs/>
          <w:color w:val="000000"/>
        </w:rPr>
        <w:t xml:space="preserve">(Accepted) Gray Brunton, </w:t>
      </w:r>
      <w:r w:rsidRPr="009C28DE">
        <w:rPr>
          <w:rFonts w:ascii="Arial" w:eastAsia="Calibri" w:hAnsi="Arial" w:cs="Arial"/>
          <w:color w:val="000000"/>
        </w:rPr>
        <w:t xml:space="preserve">C, Carnegie, E., </w:t>
      </w:r>
      <w:r w:rsidRPr="009C28DE">
        <w:rPr>
          <w:rFonts w:ascii="Arial" w:eastAsia="Calibri" w:hAnsi="Arial" w:cs="Arial"/>
          <w:b/>
          <w:bCs/>
          <w:color w:val="000000"/>
        </w:rPr>
        <w:t>Pow, J</w:t>
      </w:r>
      <w:r w:rsidRPr="009C28DE">
        <w:rPr>
          <w:rFonts w:ascii="Arial" w:eastAsia="Calibri" w:hAnsi="Arial" w:cs="Arial"/>
          <w:color w:val="000000"/>
        </w:rPr>
        <w:t>. &amp; Todorova, I.</w:t>
      </w:r>
      <w:r w:rsidRPr="009C28DE">
        <w:rPr>
          <w:rFonts w:ascii="Arial" w:eastAsia="Calibri" w:hAnsi="Arial" w:cs="Arial"/>
          <w:b/>
          <w:bCs/>
          <w:color w:val="000000"/>
        </w:rPr>
        <w:t xml:space="preserve"> </w:t>
      </w:r>
      <w:r w:rsidRPr="009C28DE">
        <w:rPr>
          <w:rFonts w:ascii="Arial" w:eastAsia="Times New Roman" w:hAnsi="Arial" w:cs="Arial"/>
          <w:kern w:val="0"/>
          <w:lang w:eastAsia="en-GB"/>
        </w:rPr>
        <w:t xml:space="preserve">Case Studies researching Human Papillomavirus (HPV) Vaccination and Reaching Hard-to-Reach Communities. </w:t>
      </w:r>
    </w:p>
    <w:p w14:paraId="021BC347" w14:textId="5651CE67" w:rsidR="009C28DE" w:rsidRPr="009C28DE" w:rsidRDefault="009C28DE" w:rsidP="009C28D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C28DE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>Gray Brunton, C.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 xml:space="preserve">, </w:t>
      </w:r>
      <w:r w:rsidRPr="009C28DE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>Pow, J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 xml:space="preserve">., Carnegie, E., Petrova, D., Garcia </w:t>
      </w:r>
      <w:proofErr w:type="spellStart"/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>Retamero</w:t>
      </w:r>
      <w:proofErr w:type="spellEnd"/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 xml:space="preserve">, R., Whittaker, A., &amp; Todorova, I. (2025). Commentary and methodological insights: Reaching girls/women, boys/men and vulnerable groups to maximise uptake for the Human papillomavirus vaccine. </w:t>
      </w:r>
      <w:r w:rsidRPr="009C28DE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Human Vaccines &amp; Immunotherapeutics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 xml:space="preserve">, </w:t>
      </w:r>
      <w:r w:rsidRPr="009C28DE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21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 xml:space="preserve">(1). </w:t>
      </w:r>
      <w:hyperlink r:id="rId9" w:history="1">
        <w:r w:rsidRPr="009C28DE">
          <w:rPr>
            <w:rFonts w:ascii="Arial" w:eastAsia="Times New Roman" w:hAnsi="Arial" w:cs="Arial"/>
            <w:color w:val="1155CC"/>
            <w:kern w:val="0"/>
            <w:u w:val="single"/>
            <w:lang w:eastAsia="en-GB"/>
          </w:rPr>
          <w:t>https://doi.org/10.1080/21645515.2025.2478705</w:t>
        </w:r>
      </w:hyperlink>
    </w:p>
    <w:p w14:paraId="7E1F3D8D" w14:textId="08D768B2" w:rsidR="009C28DE" w:rsidRPr="009C28DE" w:rsidRDefault="009C28DE" w:rsidP="009C28D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</w:rPr>
      </w:pPr>
      <w:r w:rsidRPr="009C28DE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>Gray Brunton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 xml:space="preserve">, C., Carnegie, E., </w:t>
      </w:r>
      <w:r w:rsidRPr="009C28DE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>Pow, J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>. </w:t>
      </w:r>
      <w:r w:rsidRPr="009C28DE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et al.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 xml:space="preserve"> Young Men’s Communication Needs for the Human Papillomavirus (HPV) Vaccine: A Cross-Cultural, 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lastRenderedPageBreak/>
        <w:t>Qualitative Analysis in Scotland, Spain, and the USA. </w:t>
      </w:r>
      <w:proofErr w:type="spellStart"/>
      <w:r w:rsidRPr="009C28DE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Int.J</w:t>
      </w:r>
      <w:proofErr w:type="spellEnd"/>
      <w:r w:rsidRPr="009C28DE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 xml:space="preserve">. </w:t>
      </w:r>
      <w:proofErr w:type="spellStart"/>
      <w:r w:rsidRPr="009C28DE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Behav</w:t>
      </w:r>
      <w:proofErr w:type="spellEnd"/>
      <w:r w:rsidRPr="009C28DE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. Med.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> (2025). </w:t>
      </w:r>
      <w:hyperlink r:id="rId10" w:tooltip="https://doi.org/10.1007/s12529-025-10387-6" w:history="1">
        <w:r w:rsidRPr="009C28DE">
          <w:rPr>
            <w:rFonts w:ascii="Arial" w:eastAsia="Times New Roman" w:hAnsi="Arial" w:cs="Arial"/>
            <w:color w:val="1155CC"/>
            <w:kern w:val="0"/>
            <w:u w:val="single"/>
            <w:lang w:eastAsia="en-GB"/>
          </w:rPr>
          <w:t>https://doi.org/10.1007/s12529-025-10387-6</w:t>
        </w:r>
      </w:hyperlink>
    </w:p>
    <w:p w14:paraId="0F89445D" w14:textId="0F3B0304" w:rsidR="009C28DE" w:rsidRPr="009C28DE" w:rsidRDefault="009C28DE" w:rsidP="009C28D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</w:rPr>
      </w:pPr>
      <w:r w:rsidRPr="009C28DE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>Pow, J.,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 xml:space="preserve"> Clarke, L., McHale, S., &amp; </w:t>
      </w:r>
      <w:r w:rsidRPr="009C28DE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>Gray-Brunton, C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>. (2025). A systematic review and thematic synthesis exploring how gay, bisexual and other men who have sex with men (GBMSM) experience HPV and HPV vaccination. </w:t>
      </w:r>
      <w:r w:rsidRPr="009C28DE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Human Vaccines &amp; Immunotherapeutics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>, </w:t>
      </w:r>
      <w:r w:rsidRPr="009C28DE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21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>(1). </w:t>
      </w:r>
      <w:hyperlink r:id="rId11" w:tooltip="https://doi.org/10.1080/21645515.2025.2490440" w:history="1">
        <w:r w:rsidRPr="009C28DE">
          <w:rPr>
            <w:rFonts w:ascii="Arial" w:eastAsia="Times New Roman" w:hAnsi="Arial" w:cs="Arial"/>
            <w:color w:val="1155CC"/>
            <w:kern w:val="0"/>
            <w:u w:val="single"/>
            <w:lang w:eastAsia="en-GB"/>
          </w:rPr>
          <w:t>https://doi.org/10.1080/21645515.2025.2490440</w:t>
        </w:r>
      </w:hyperlink>
    </w:p>
    <w:p w14:paraId="20104AAD" w14:textId="168D27A8" w:rsidR="009C28DE" w:rsidRPr="009C28DE" w:rsidRDefault="009C28DE" w:rsidP="009C28D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</w:rPr>
      </w:pP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>Carnegie, E., </w:t>
      </w:r>
      <w:r w:rsidRPr="009C28DE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>Gray-Brunton, C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 xml:space="preserve">., Kennedy, C., </w:t>
      </w:r>
      <w:r w:rsidRPr="009C28DE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>Pow, J.,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 xml:space="preserve"> Willis, D., &amp; Whittaker, A. (2025). Young men with intellectual disabilities’ perceptions of HPV and HPV vaccine: A qualitative study on how to communicate HPV vaccine information. </w:t>
      </w:r>
      <w:r w:rsidRPr="009C28DE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Human Vaccines &amp; Immunotherapeutics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>, </w:t>
      </w:r>
      <w:r w:rsidRPr="009C28DE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21</w:t>
      </w:r>
      <w:r w:rsidRPr="009C28DE">
        <w:rPr>
          <w:rFonts w:ascii="Arial" w:eastAsia="Times New Roman" w:hAnsi="Arial" w:cs="Arial"/>
          <w:color w:val="000000"/>
          <w:kern w:val="0"/>
          <w:lang w:eastAsia="en-GB"/>
        </w:rPr>
        <w:t>(1). </w:t>
      </w:r>
      <w:hyperlink r:id="rId12" w:tooltip="https://doi.org/10.1080/21645515.2025.2491857" w:history="1">
        <w:r w:rsidRPr="009C28DE">
          <w:rPr>
            <w:rFonts w:ascii="Arial" w:eastAsia="Times New Roman" w:hAnsi="Arial" w:cs="Arial"/>
            <w:color w:val="1155CC"/>
            <w:kern w:val="0"/>
            <w:u w:val="single"/>
            <w:lang w:eastAsia="en-GB"/>
          </w:rPr>
          <w:t>https://doi.org/10.1080/21645515.2025.2491857</w:t>
        </w:r>
      </w:hyperlink>
    </w:p>
    <w:p w14:paraId="2C0D8CBD" w14:textId="2D75C614" w:rsidR="009C28DE" w:rsidRDefault="009C28DE" w:rsidP="009C28D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</w:pPr>
      <w:r w:rsidRPr="009C28DE">
        <w:rPr>
          <w:rFonts w:ascii="Arial" w:hAnsi="Arial" w:cs="Arial"/>
          <w:b/>
          <w:bCs/>
          <w:color w:val="222222"/>
          <w:shd w:val="clear" w:color="auto" w:fill="FFFFFF"/>
        </w:rPr>
        <w:t>Gray Brunton, C.,</w:t>
      </w:r>
      <w:r w:rsidRPr="009C28DE">
        <w:rPr>
          <w:rFonts w:ascii="Arial" w:hAnsi="Arial" w:cs="Arial"/>
          <w:color w:val="222222"/>
          <w:shd w:val="clear" w:color="auto" w:fill="FFFFFF"/>
        </w:rPr>
        <w:t xml:space="preserve"> Farver, I., Jäger, M. </w:t>
      </w:r>
      <w:r w:rsidRPr="009C28DE">
        <w:rPr>
          <w:rFonts w:ascii="Arial" w:hAnsi="Arial" w:cs="Arial"/>
          <w:i/>
          <w:iCs/>
          <w:color w:val="222222"/>
          <w:shd w:val="clear" w:color="auto" w:fill="FFFFFF"/>
        </w:rPr>
        <w:t>et al.</w:t>
      </w:r>
      <w:r w:rsidRPr="009C28DE">
        <w:rPr>
          <w:rFonts w:ascii="Arial" w:hAnsi="Arial" w:cs="Arial"/>
          <w:color w:val="222222"/>
          <w:shd w:val="clear" w:color="auto" w:fill="FFFFFF"/>
        </w:rPr>
        <w:t> Young Women's Constructions of the HPV Vaccine: A Cross-Cultural, Qualitative Study in Scotland, Spain,</w:t>
      </w:r>
      <w:r>
        <w:rPr>
          <w:rFonts w:ascii="Arial" w:hAnsi="Arial" w:cs="Arial"/>
          <w:color w:val="222222"/>
          <w:shd w:val="clear" w:color="auto" w:fill="FFFFFF"/>
        </w:rPr>
        <w:t xml:space="preserve"> Serbia and Bulgaria. </w:t>
      </w:r>
      <w:proofErr w:type="spellStart"/>
      <w:r>
        <w:rPr>
          <w:rFonts w:ascii="Arial" w:hAnsi="Arial" w:cs="Arial"/>
          <w:i/>
          <w:iCs/>
          <w:color w:val="222222"/>
          <w:shd w:val="clear" w:color="auto" w:fill="FFFFFF"/>
        </w:rPr>
        <w:t>Int.J</w:t>
      </w:r>
      <w:proofErr w:type="spellEnd"/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i/>
          <w:iCs/>
          <w:color w:val="222222"/>
          <w:shd w:val="clear" w:color="auto" w:fill="FFFFFF"/>
        </w:rPr>
        <w:t>Behav</w:t>
      </w:r>
      <w:proofErr w:type="spellEnd"/>
      <w:r>
        <w:rPr>
          <w:rFonts w:ascii="Arial" w:hAnsi="Arial" w:cs="Arial"/>
          <w:i/>
          <w:iCs/>
          <w:color w:val="222222"/>
          <w:shd w:val="clear" w:color="auto" w:fill="FFFFFF"/>
        </w:rPr>
        <w:t>. Med.</w:t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21</w:t>
      </w:r>
      <w:r>
        <w:rPr>
          <w:rFonts w:ascii="Arial" w:hAnsi="Arial" w:cs="Arial"/>
          <w:color w:val="222222"/>
          <w:shd w:val="clear" w:color="auto" w:fill="FFFFFF"/>
        </w:rPr>
        <w:t>, 11–19 (2014). https://doi.org/10.1007/s12529-013-9357-3</w:t>
      </w:r>
    </w:p>
    <w:p w14:paraId="74F87241" w14:textId="6B42DC17" w:rsidR="009C28DE" w:rsidRDefault="009C28DE"/>
    <w:p w14:paraId="794431C0" w14:textId="0D59145F" w:rsidR="005B6AA4" w:rsidRDefault="005B6AA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6F44C6" wp14:editId="3F458CF0">
                <wp:simplePos x="0" y="0"/>
                <wp:positionH relativeFrom="column">
                  <wp:posOffset>60960</wp:posOffset>
                </wp:positionH>
                <wp:positionV relativeFrom="paragraph">
                  <wp:posOffset>47625</wp:posOffset>
                </wp:positionV>
                <wp:extent cx="6126480" cy="1320800"/>
                <wp:effectExtent l="0" t="0" r="7620" b="12700"/>
                <wp:wrapNone/>
                <wp:docPr id="186557030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6480" cy="132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414F6" w14:textId="15FF9BF5" w:rsidR="005B6AA4" w:rsidRPr="005B6AA4" w:rsidRDefault="005B6A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Methods and approaches in reaching underserved communities: qualitative and participatory approaches including community engagement, Interpretative Phenomenological Analysis, Reflexive Thematic Analysis, Foucauldian Discourse Analysis, mixed methods and Social Network Analysis (SNA).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F44C6" id="Text Box 7" o:spid="_x0000_s1029" type="#_x0000_t202" style="position:absolute;margin-left:4.8pt;margin-top:3.75pt;width:482.4pt;height:10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gq/vOwIAAIQEAAAOAAAAZHJzL2Uyb0RvYy54bWysVE1v2zAMvQ/YfxB0X2wnaZYacYosRYYB&#13;&#10;QVsgHXpWZDkWJouapMTOfv0o5bvbadhFJkXqkXwkPXnoGkV2wjoJuqBZL6VEaA6l1JuCfn9dfBpT&#13;&#10;4jzTJVOgRUH3wtGH6ccPk9bkog81qFJYgiDa5a0paO29yZPE8Vo0zPXACI3GCmzDPKp2k5SWtYje&#13;&#10;qKSfpqOkBVsaC1w4h7ePByOdRvyqEtw/V5UTnqiCYm4+njae63Am0wnLN5aZWvJjGuwfsmiY1Bj0&#13;&#10;DPXIPCNbK/+AaiS34KDyPQ5NAlUluYg1YDVZ+q6aVc2MiLUgOc6caXL/D5Y/7VbmxRLffYEOGxgI&#13;&#10;aY3LHV6GerrKNuGLmRK0I4X7M22i84Tj5Sjrj4ZjNHG0ZYN+Ok4jscnlubHOfxXQkCAU1GJfIl1s&#13;&#10;t3QeQ6LrySVEc6BkuZBKRSXMgpgrS3YMu6h8TBJf3HgpTVpMZXCXRuAbW4A+v18rxn+EMm8RUFMa&#13;&#10;Ly/FB8l3647IsqCDEzFrKPfIl4XDKDnDFxLhl8z5F2ZxdpAH3Af/jEelAHOCo0RJDfbX3+6DP7YU&#13;&#10;rZS0OIsFdT+3zApK1DeNzb7PhsMwvFEZ3n3uo2KvLetri942c0CiMtw8w6MY/L06iZWF5g3XZhai&#13;&#10;oolpjrEL6k/i3B82BNeOi9ksOuG4GuaXemV4gA6NCbS+dm/MmmNbPU7EE5ymluXvunvwDS81zLYe&#13;&#10;KhlbH3g+sHqkH0c9due4lmGXrvXodfl5TH8DAAD//wMAUEsDBBQABgAIAAAAIQCVrqeT4AAAAAwB&#13;&#10;AAAPAAAAZHJzL2Rvd25yZXYueG1sTE/LTsMwELwj8Q/WInGjTqumTdI4FY/ChRMF9ezGWztqvI5s&#13;&#10;Nw1/jznBZaXRPHam3k62ZyP60DkSMJ9lwJBapzrSAr4+Xx8KYCFKUrJ3hAK+McC2ub2pZaXclT5w&#13;&#10;3EfNUgiFSgowMQ4V56E1aGWYuQEpcSfnrYwJes2Vl9cUbnu+yLIVt7Kj9MHIAZ8Ntuf9xQrYPelS&#13;&#10;t4X0Zleorhunw+ldvwlxfze9bNJ53ACLOMU/B/xuSP2hScWO7kIqsF5AuUpCAescWGLL9XIJ7Chg&#13;&#10;Mc9z4E3N/49ofgAAAP//AwBQSwECLQAUAAYACAAAACEAtoM4kv4AAADhAQAAEwAAAAAAAAAAAAAA&#13;&#10;AAAAAAAAW0NvbnRlbnRfVHlwZXNdLnhtbFBLAQItABQABgAIAAAAIQA4/SH/1gAAAJQBAAALAAAA&#13;&#10;AAAAAAAAAAAAAC8BAABfcmVscy8ucmVsc1BLAQItABQABgAIAAAAIQBfgq/vOwIAAIQEAAAOAAAA&#13;&#10;AAAAAAAAAAAAAC4CAABkcnMvZTJvRG9jLnhtbFBLAQItABQABgAIAAAAIQCVrqeT4AAAAAwBAAAP&#13;&#10;AAAAAAAAAAAAAAAAAJUEAABkcnMvZG93bnJldi54bWxQSwUGAAAAAAQABADzAAAAogUAAAAA&#13;&#10;" fillcolor="white [3201]" strokeweight=".5pt">
                <v:textbox>
                  <w:txbxContent>
                    <w:p w14:paraId="324414F6" w14:textId="15FF9BF5" w:rsidR="005B6AA4" w:rsidRPr="005B6AA4" w:rsidRDefault="005B6AA4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>Methods and approaches in reaching underserved communities: qualitative and participatory approaches including community engagement, Interpretative Phenomenological Analysis, Reflexive Thematic Analysis, Foucauldian Discourse Analysis, mixed methods and Social Network Analysis (SNA).</w:t>
                      </w:r>
                    </w:p>
                  </w:txbxContent>
                </v:textbox>
              </v:shape>
            </w:pict>
          </mc:Fallback>
        </mc:AlternateContent>
      </w:r>
    </w:p>
    <w:p w14:paraId="470092AB" w14:textId="77777777" w:rsidR="005B6AA4" w:rsidRDefault="005B6AA4"/>
    <w:p w14:paraId="472D683D" w14:textId="77777777" w:rsidR="005B6AA4" w:rsidRDefault="005B6AA4"/>
    <w:p w14:paraId="351E8BD4" w14:textId="77777777" w:rsidR="005B6AA4" w:rsidRDefault="005B6AA4"/>
    <w:p w14:paraId="10EFA68B" w14:textId="77777777" w:rsidR="005B6AA4" w:rsidRDefault="005B6AA4"/>
    <w:p w14:paraId="5A2A0586" w14:textId="77777777" w:rsidR="005B6AA4" w:rsidRPr="005B6AA4" w:rsidRDefault="005B6AA4" w:rsidP="005B6AA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5B6AA4">
        <w:rPr>
          <w:rFonts w:ascii="Arial" w:hAnsi="Arial" w:cs="Arial"/>
          <w:b/>
          <w:bCs/>
          <w:color w:val="000000"/>
          <w:lang w:eastAsia="en-GB"/>
        </w:rPr>
        <w:t>Gray Brunton, C.</w:t>
      </w:r>
      <w:r w:rsidRPr="005B6AA4">
        <w:rPr>
          <w:rFonts w:ascii="Arial" w:hAnsi="Arial" w:cs="Arial"/>
          <w:color w:val="000000"/>
          <w:lang w:eastAsia="en-GB"/>
        </w:rPr>
        <w:t xml:space="preserve">, </w:t>
      </w:r>
      <w:r w:rsidRPr="005B6AA4">
        <w:rPr>
          <w:rFonts w:ascii="Arial" w:hAnsi="Arial" w:cs="Arial"/>
          <w:b/>
          <w:bCs/>
          <w:color w:val="000000"/>
          <w:lang w:eastAsia="en-GB"/>
        </w:rPr>
        <w:t>Pow, J</w:t>
      </w:r>
      <w:r w:rsidRPr="005B6AA4">
        <w:rPr>
          <w:rFonts w:ascii="Arial" w:hAnsi="Arial" w:cs="Arial"/>
          <w:color w:val="000000"/>
          <w:lang w:eastAsia="en-GB"/>
        </w:rPr>
        <w:t xml:space="preserve">., Carnegie, E., Petrova, D., Garcia </w:t>
      </w:r>
      <w:proofErr w:type="spellStart"/>
      <w:r w:rsidRPr="005B6AA4">
        <w:rPr>
          <w:rFonts w:ascii="Arial" w:hAnsi="Arial" w:cs="Arial"/>
          <w:color w:val="000000"/>
          <w:lang w:eastAsia="en-GB"/>
        </w:rPr>
        <w:t>Retamero</w:t>
      </w:r>
      <w:proofErr w:type="spellEnd"/>
      <w:r w:rsidRPr="005B6AA4">
        <w:rPr>
          <w:rFonts w:ascii="Arial" w:hAnsi="Arial" w:cs="Arial"/>
          <w:color w:val="000000"/>
          <w:lang w:eastAsia="en-GB"/>
        </w:rPr>
        <w:t xml:space="preserve">, R., Whittaker, A., &amp; Todorova, I. (2025). Commentary and methodological insights: Reaching girls/women, boys/men and vulnerable groups to maximise uptake for the Human papillomavirus vaccine. </w:t>
      </w:r>
      <w:r w:rsidRPr="005B6AA4">
        <w:rPr>
          <w:rFonts w:ascii="Arial" w:hAnsi="Arial" w:cs="Arial"/>
          <w:i/>
          <w:iCs/>
          <w:color w:val="000000"/>
          <w:lang w:eastAsia="en-GB"/>
        </w:rPr>
        <w:t>Human Vaccines &amp; Immunotherapeutics</w:t>
      </w:r>
      <w:r w:rsidRPr="005B6AA4">
        <w:rPr>
          <w:rFonts w:ascii="Arial" w:hAnsi="Arial" w:cs="Arial"/>
          <w:color w:val="000000"/>
          <w:lang w:eastAsia="en-GB"/>
        </w:rPr>
        <w:t xml:space="preserve">, </w:t>
      </w:r>
      <w:r w:rsidRPr="005B6AA4">
        <w:rPr>
          <w:rFonts w:ascii="Arial" w:hAnsi="Arial" w:cs="Arial"/>
          <w:i/>
          <w:iCs/>
          <w:color w:val="000000"/>
          <w:lang w:eastAsia="en-GB"/>
        </w:rPr>
        <w:t>21</w:t>
      </w:r>
      <w:r w:rsidRPr="005B6AA4">
        <w:rPr>
          <w:rFonts w:ascii="Arial" w:hAnsi="Arial" w:cs="Arial"/>
          <w:color w:val="000000"/>
          <w:lang w:eastAsia="en-GB"/>
        </w:rPr>
        <w:t xml:space="preserve">(1). </w:t>
      </w:r>
      <w:hyperlink r:id="rId13" w:history="1">
        <w:r w:rsidRPr="005B6AA4">
          <w:rPr>
            <w:rFonts w:ascii="Arial" w:hAnsi="Arial" w:cs="Arial"/>
            <w:color w:val="1155CC"/>
            <w:u w:val="single"/>
            <w:lang w:eastAsia="en-GB"/>
          </w:rPr>
          <w:t>https://doi.org/10.1080/21645515.2025.2478705</w:t>
        </w:r>
      </w:hyperlink>
    </w:p>
    <w:p w14:paraId="1922CE35" w14:textId="77777777" w:rsidR="005B6AA4" w:rsidRPr="005B6AA4" w:rsidRDefault="005B6AA4" w:rsidP="005B6AA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5B6AA4">
        <w:rPr>
          <w:rFonts w:ascii="Arial" w:eastAsia="Calibri" w:hAnsi="Arial" w:cs="Arial"/>
          <w:color w:val="000000"/>
        </w:rPr>
        <w:t xml:space="preserve">McInally, W., &amp; </w:t>
      </w:r>
      <w:r w:rsidRPr="005B6AA4">
        <w:rPr>
          <w:rFonts w:ascii="Arial" w:eastAsia="Calibri" w:hAnsi="Arial" w:cs="Arial"/>
          <w:b/>
          <w:bCs/>
          <w:color w:val="000000"/>
        </w:rPr>
        <w:t>Gray-Brunton, C</w:t>
      </w:r>
      <w:r w:rsidRPr="005B6AA4">
        <w:rPr>
          <w:rFonts w:ascii="Arial" w:eastAsia="Calibri" w:hAnsi="Arial" w:cs="Arial"/>
          <w:color w:val="000000"/>
        </w:rPr>
        <w:t xml:space="preserve">. (2021). Research made simple: using </w:t>
      </w:r>
      <w:proofErr w:type="spellStart"/>
      <w:r w:rsidRPr="005B6AA4">
        <w:rPr>
          <w:rFonts w:ascii="Arial" w:eastAsia="Calibri" w:hAnsi="Arial" w:cs="Arial"/>
          <w:color w:val="000000"/>
        </w:rPr>
        <w:t>multiperspective</w:t>
      </w:r>
      <w:proofErr w:type="spellEnd"/>
      <w:r w:rsidRPr="005B6AA4">
        <w:rPr>
          <w:rFonts w:ascii="Arial" w:eastAsia="Calibri" w:hAnsi="Arial" w:cs="Arial"/>
          <w:color w:val="000000"/>
        </w:rPr>
        <w:t xml:space="preserve"> interpretative phenomenological analysis to explore healthcare phenomena</w:t>
      </w:r>
      <w:r w:rsidRPr="005B6AA4">
        <w:rPr>
          <w:rFonts w:ascii="Arial" w:eastAsia="Calibri" w:hAnsi="Arial" w:cs="Arial"/>
          <w:i/>
          <w:iCs/>
          <w:color w:val="000000"/>
        </w:rPr>
        <w:t>. Evidence-Based Nursing</w:t>
      </w:r>
      <w:r w:rsidRPr="005B6AA4">
        <w:rPr>
          <w:rFonts w:ascii="Arial" w:eastAsia="Calibri" w:hAnsi="Arial" w:cs="Arial"/>
          <w:color w:val="000000"/>
        </w:rPr>
        <w:t xml:space="preserve">, 71-73. </w:t>
      </w:r>
      <w:hyperlink r:id="rId14" w:history="1">
        <w:r w:rsidRPr="005B6AA4">
          <w:rPr>
            <w:rStyle w:val="Hyperlink"/>
            <w:rFonts w:ascii="Arial" w:eastAsia="Calibri" w:hAnsi="Arial" w:cs="Arial"/>
          </w:rPr>
          <w:t>https://ebn.bmj.com/content/ebnurs/24/3/71.full.pdf</w:t>
        </w:r>
      </w:hyperlink>
    </w:p>
    <w:p w14:paraId="674D89A3" w14:textId="77777777" w:rsidR="005B6AA4" w:rsidRPr="005B6AA4" w:rsidRDefault="005B6AA4" w:rsidP="005B6AA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5B6AA4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>Gray Brunton, C.</w:t>
      </w:r>
      <w:r w:rsidRPr="005B6AA4">
        <w:rPr>
          <w:rFonts w:ascii="Arial" w:eastAsia="Times New Roman" w:hAnsi="Arial" w:cs="Arial"/>
          <w:color w:val="000000"/>
          <w:kern w:val="0"/>
          <w:lang w:eastAsia="en-GB"/>
        </w:rPr>
        <w:t xml:space="preserve">, Todorova, I., Petrova, D., Carnegie, E., &amp; Whittaker, A., (2018). Using </w:t>
      </w:r>
      <w:proofErr w:type="spellStart"/>
      <w:r w:rsidRPr="005B6AA4">
        <w:rPr>
          <w:rFonts w:ascii="Arial" w:eastAsia="Times New Roman" w:hAnsi="Arial" w:cs="Arial"/>
          <w:color w:val="000000"/>
          <w:kern w:val="0"/>
          <w:lang w:eastAsia="en-GB"/>
        </w:rPr>
        <w:t>foucauldian</w:t>
      </w:r>
      <w:proofErr w:type="spellEnd"/>
      <w:r w:rsidRPr="005B6AA4">
        <w:rPr>
          <w:rFonts w:ascii="Arial" w:eastAsia="Times New Roman" w:hAnsi="Arial" w:cs="Arial"/>
          <w:color w:val="000000"/>
          <w:kern w:val="0"/>
          <w:lang w:eastAsia="en-GB"/>
        </w:rPr>
        <w:t xml:space="preserve"> discourse analysis to </w:t>
      </w:r>
      <w:proofErr w:type="spellStart"/>
      <w:r w:rsidRPr="005B6AA4">
        <w:rPr>
          <w:rFonts w:ascii="Arial" w:eastAsia="Times New Roman" w:hAnsi="Arial" w:cs="Arial"/>
          <w:color w:val="000000"/>
          <w:kern w:val="0"/>
          <w:lang w:eastAsia="en-GB"/>
        </w:rPr>
        <w:t>analyze</w:t>
      </w:r>
      <w:proofErr w:type="spellEnd"/>
      <w:r w:rsidRPr="005B6AA4">
        <w:rPr>
          <w:rFonts w:ascii="Arial" w:eastAsia="Times New Roman" w:hAnsi="Arial" w:cs="Arial"/>
          <w:color w:val="000000"/>
          <w:kern w:val="0"/>
          <w:lang w:eastAsia="en-GB"/>
        </w:rPr>
        <w:t xml:space="preserve"> young women’s constructions of the human papillomavirus vaccine. In Sage Research Methods Cases Part 2. SAGE Publications, Ltd., </w:t>
      </w:r>
      <w:hyperlink r:id="rId15" w:tooltip="https://doi.org/10.4135/9781526440235" w:history="1">
        <w:r w:rsidRPr="005B6AA4">
          <w:rPr>
            <w:rFonts w:ascii="Arial" w:eastAsia="Times New Roman" w:hAnsi="Arial" w:cs="Arial"/>
            <w:color w:val="1155CC"/>
            <w:kern w:val="0"/>
            <w:u w:val="single"/>
            <w:lang w:eastAsia="en-GB"/>
          </w:rPr>
          <w:t>https://doi.org/10.4135/9781526440235</w:t>
        </w:r>
      </w:hyperlink>
    </w:p>
    <w:p w14:paraId="24A62FDF" w14:textId="77777777" w:rsidR="005B6AA4" w:rsidRPr="005B6AA4" w:rsidRDefault="005B6AA4" w:rsidP="005B6AA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5B6AA4">
        <w:rPr>
          <w:rFonts w:ascii="Arial" w:eastAsia="Times New Roman" w:hAnsi="Arial" w:cs="Arial"/>
          <w:color w:val="000000"/>
          <w:kern w:val="0"/>
          <w:lang w:eastAsia="en-GB"/>
        </w:rPr>
        <w:t>Carnegie, E., Whittaker, A., </w:t>
      </w:r>
      <w:r w:rsidRPr="005B6AA4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>Gray Brunton, C</w:t>
      </w:r>
      <w:r w:rsidRPr="005B6AA4">
        <w:rPr>
          <w:rFonts w:ascii="Arial" w:eastAsia="Times New Roman" w:hAnsi="Arial" w:cs="Arial"/>
          <w:color w:val="000000"/>
          <w:kern w:val="0"/>
          <w:lang w:eastAsia="en-GB"/>
        </w:rPr>
        <w:t xml:space="preserve">., Hogg, R., Kennedy, C., Hilton, S., Harding, S., Pollock, K. G., &amp; </w:t>
      </w:r>
      <w:r w:rsidRPr="005B6AA4">
        <w:rPr>
          <w:rFonts w:ascii="Arial" w:eastAsia="Times New Roman" w:hAnsi="Arial" w:cs="Arial"/>
          <w:b/>
          <w:bCs/>
          <w:color w:val="000000"/>
          <w:kern w:val="0"/>
          <w:lang w:eastAsia="en-GB"/>
        </w:rPr>
        <w:t>Pow, J.</w:t>
      </w:r>
      <w:r w:rsidRPr="005B6AA4">
        <w:rPr>
          <w:rFonts w:ascii="Arial" w:eastAsia="Times New Roman" w:hAnsi="Arial" w:cs="Arial"/>
          <w:color w:val="000000"/>
          <w:kern w:val="0"/>
          <w:lang w:eastAsia="en-GB"/>
        </w:rPr>
        <w:t xml:space="preserve"> (2017). Development of a cross-cultural HPV community engagement model within Scotland. </w:t>
      </w:r>
      <w:r w:rsidRPr="005B6AA4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Health Education Journal</w:t>
      </w:r>
      <w:r w:rsidRPr="005B6AA4">
        <w:rPr>
          <w:rFonts w:ascii="Arial" w:eastAsia="Times New Roman" w:hAnsi="Arial" w:cs="Arial"/>
          <w:color w:val="000000"/>
          <w:kern w:val="0"/>
          <w:lang w:eastAsia="en-GB"/>
        </w:rPr>
        <w:t>, </w:t>
      </w:r>
      <w:r w:rsidRPr="005B6AA4">
        <w:rPr>
          <w:rFonts w:ascii="Arial" w:eastAsia="Times New Roman" w:hAnsi="Arial" w:cs="Arial"/>
          <w:i/>
          <w:iCs/>
          <w:color w:val="000000"/>
          <w:kern w:val="0"/>
          <w:lang w:eastAsia="en-GB"/>
        </w:rPr>
        <w:t>76</w:t>
      </w:r>
      <w:r w:rsidRPr="005B6AA4">
        <w:rPr>
          <w:rFonts w:ascii="Arial" w:eastAsia="Times New Roman" w:hAnsi="Arial" w:cs="Arial"/>
          <w:color w:val="000000"/>
          <w:kern w:val="0"/>
          <w:lang w:eastAsia="en-GB"/>
        </w:rPr>
        <w:t>(4), 398-410. </w:t>
      </w:r>
      <w:hyperlink r:id="rId16" w:tooltip="https://doi.org/10.1177/0017896916685592" w:history="1">
        <w:r w:rsidRPr="005B6AA4">
          <w:rPr>
            <w:rFonts w:ascii="Arial" w:eastAsia="Times New Roman" w:hAnsi="Arial" w:cs="Arial"/>
            <w:color w:val="1155CC"/>
            <w:kern w:val="0"/>
            <w:u w:val="single"/>
            <w:lang w:eastAsia="en-GB"/>
          </w:rPr>
          <w:t>https://doi.org/10.1177/0017896916685592</w:t>
        </w:r>
      </w:hyperlink>
      <w:r w:rsidRPr="005B6AA4">
        <w:rPr>
          <w:rFonts w:ascii="Arial" w:eastAsia="Times New Roman" w:hAnsi="Arial" w:cs="Arial"/>
          <w:color w:val="000000"/>
          <w:kern w:val="0"/>
          <w:lang w:eastAsia="en-GB"/>
        </w:rPr>
        <w:t> </w:t>
      </w:r>
    </w:p>
    <w:p w14:paraId="168748F1" w14:textId="77777777" w:rsidR="005B6AA4" w:rsidRPr="005B6AA4" w:rsidRDefault="005B6AA4" w:rsidP="005B6AA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5B6AA4">
        <w:rPr>
          <w:rFonts w:ascii="Arial" w:hAnsi="Arial" w:cs="Arial"/>
          <w:b/>
          <w:bCs/>
          <w:color w:val="242424"/>
        </w:rPr>
        <w:lastRenderedPageBreak/>
        <w:t>Pow, J</w:t>
      </w:r>
      <w:r w:rsidRPr="005B6AA4">
        <w:rPr>
          <w:rFonts w:ascii="Arial" w:hAnsi="Arial" w:cs="Arial"/>
          <w:color w:val="242424"/>
        </w:rPr>
        <w:t>., Gayen, K., Elliot, L., Raeside, R. (2012). Understanding complex interactions using social network analysis. </w:t>
      </w:r>
      <w:r w:rsidRPr="005B6AA4">
        <w:rPr>
          <w:rFonts w:ascii="Arial" w:hAnsi="Arial" w:cs="Arial"/>
          <w:i/>
          <w:iCs/>
          <w:color w:val="242424"/>
        </w:rPr>
        <w:t>Journal of Clinical Nursing</w:t>
      </w:r>
      <w:r w:rsidRPr="005B6AA4">
        <w:rPr>
          <w:rFonts w:ascii="Arial" w:hAnsi="Arial" w:cs="Arial"/>
          <w:color w:val="242424"/>
        </w:rPr>
        <w:t> 21(19/20). </w:t>
      </w:r>
      <w:hyperlink r:id="rId17" w:tooltip="https://doi.org/10.1111/j.1365-2702.2011.04036.x" w:history="1">
        <w:r w:rsidRPr="005B6AA4">
          <w:rPr>
            <w:rStyle w:val="Hyperlink"/>
            <w:rFonts w:ascii="Arial" w:hAnsi="Arial" w:cs="Arial"/>
          </w:rPr>
          <w:t>https://doi.org/10.1111/j.1365-2702.2011.04036.x</w:t>
        </w:r>
      </w:hyperlink>
    </w:p>
    <w:p w14:paraId="5F06119A" w14:textId="77777777" w:rsidR="005B6AA4" w:rsidRDefault="005B6AA4" w:rsidP="005B6AA4">
      <w:pPr>
        <w:pStyle w:val="ListParagraph"/>
        <w:jc w:val="both"/>
        <w:rPr>
          <w:rFonts w:ascii="Arial" w:hAnsi="Arial" w:cs="Arial"/>
        </w:rPr>
      </w:pPr>
    </w:p>
    <w:p w14:paraId="25577E48" w14:textId="77777777" w:rsidR="005B6AA4" w:rsidRDefault="005B6AA4"/>
    <w:p w14:paraId="5E65E7D2" w14:textId="77777777" w:rsidR="005B6AA4" w:rsidRDefault="005B6AA4"/>
    <w:p w14:paraId="40640F03" w14:textId="3D607EFD" w:rsidR="009C28DE" w:rsidRDefault="009C28D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99C180" wp14:editId="7386913E">
                <wp:simplePos x="0" y="0"/>
                <wp:positionH relativeFrom="column">
                  <wp:posOffset>152400</wp:posOffset>
                </wp:positionH>
                <wp:positionV relativeFrom="paragraph">
                  <wp:posOffset>59055</wp:posOffset>
                </wp:positionV>
                <wp:extent cx="5811520" cy="416560"/>
                <wp:effectExtent l="0" t="0" r="17780" b="15240"/>
                <wp:wrapNone/>
                <wp:docPr id="7366267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1520" cy="416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C70B84" w14:textId="734BD495" w:rsidR="009C28DE" w:rsidRPr="005B6AA4" w:rsidRDefault="009C28D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B6AA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Experiences of cancer care band treatment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9C180" id="Text Box 4" o:spid="_x0000_s1030" type="#_x0000_t202" style="position:absolute;margin-left:12pt;margin-top:4.65pt;width:457.6pt;height:32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yjGOgIAAIMEAAAOAAAAZHJzL2Uyb0RvYy54bWysVE1v2zAMvQ/YfxB0XxxnSdYZcYosRYYB&#13;&#10;QVsgHXpWZCkWJouapMTOfv0o5bvbadhFJkXqkXwkPbnvGk12wnkFpqR5r0+JMBwqZTYl/f6y+HBH&#13;&#10;iQ/MVEyDESXdC0/vp+/fTVpbiAHUoCvhCIIYX7S2pHUItsgyz2vRMN8DKwwaJbiGBVTdJqscaxG9&#13;&#10;0dmg3x9nLbjKOuDCe7x9OBjpNOFLKXh4ktKLQHRJMbeQTpfOdTyz6YQVG8dsrfgxDfYPWTRMGQx6&#13;&#10;hnpggZGtU39ANYo78CBDj0OTgZSKi1QDVpP331SzqpkVqRYkx9szTf7/wfLH3co+OxK6L9BhAyMh&#13;&#10;rfWFx8tYTyddE7+YKUE7Urg/0ya6QDheju7yfDRAE0fbMB+PxonX7PLaOh++CmhIFErqsC2JLbZb&#13;&#10;+oAR0fXkEoN50KpaKK2TEkdBzLUjO4ZN1CHliC9uvLQhbUnHH0f9BHxji9Dn92vN+I9Y5S0Catrg&#13;&#10;5aX2KIVu3RFVYVUnXtZQ7ZEuB4dJ8pYvFMIvmQ/PzOHoIA24DuEJD6kBc4KjREkN7tff7qM/dhSt&#13;&#10;lLQ4iiX1P7fMCUr0N4O9/pwPh3F2kzIcfYpUu2vL+tpits0ckKgcF8/yJEb/oE+idNC84tbMYlQ0&#13;&#10;McMxdknDSZyHw4Lg1nExmyUnnFbLwtKsLI/QsTGR1pfulTl7bGvAgXiE09Cy4k13D77xpYHZNoBU&#13;&#10;qfWR5wOrR/px0lN3jlsZV+laT16Xf8f0NwAAAP//AwBQSwMEFAAGAAgAAAAhACfyhNngAAAADAEA&#13;&#10;AA8AAABkcnMvZG93bnJldi54bWxMj81OwzAQhO9IvIO1SNyoQ1pBnGZT8VO49ERBnN3YtS3idRS7&#13;&#10;aXh7zAkuI61GOzNfs5l9zyY9RhcI4XZRANPUBeXIIHy8v9xUwGKSpGQfSCN86wib9vKikbUKZ3rT&#13;&#10;0z4ZlkMo1hLBpjTUnMfOai/jIgyasncMo5cpn6PhapTnHO57XhbFHffSUW6wctBPVndf+5NH2D4a&#13;&#10;YbpKjnZbKeem+fO4M6+I11fz8zrLwxpY0nP6+4Bfhrwf2jzsEE6kIusRylXmSQhiCSzbYilKYAeE&#13;&#10;+5UA3jb8P0T7AwAA//8DAFBLAQItABQABgAIAAAAIQC2gziS/gAAAOEBAAATAAAAAAAAAAAAAAAA&#13;&#10;AAAAAABbQ29udGVudF9UeXBlc10ueG1sUEsBAi0AFAAGAAgAAAAhADj9If/WAAAAlAEAAAsAAAAA&#13;&#10;AAAAAAAAAAAALwEAAF9yZWxzLy5yZWxzUEsBAi0AFAAGAAgAAAAhABjDKMY6AgAAgwQAAA4AAAAA&#13;&#10;AAAAAAAAAAAALgIAAGRycy9lMm9Eb2MueG1sUEsBAi0AFAAGAAgAAAAhACfyhNngAAAADAEAAA8A&#13;&#10;AAAAAAAAAAAAAAAAlAQAAGRycy9kb3ducmV2LnhtbFBLBQYAAAAABAAEAPMAAAChBQAAAAA=&#13;&#10;" fillcolor="white [3201]" strokeweight=".5pt">
                <v:textbox>
                  <w:txbxContent>
                    <w:p w14:paraId="3CC70B84" w14:textId="734BD495" w:rsidR="009C28DE" w:rsidRPr="005B6AA4" w:rsidRDefault="009C28DE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5B6AA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Experiences of cancer care band treatment </w:t>
                      </w:r>
                    </w:p>
                  </w:txbxContent>
                </v:textbox>
              </v:shape>
            </w:pict>
          </mc:Fallback>
        </mc:AlternateContent>
      </w:r>
    </w:p>
    <w:p w14:paraId="03B12483" w14:textId="3F8A1CD2" w:rsidR="009C28DE" w:rsidRDefault="009C28DE"/>
    <w:p w14:paraId="673397A2" w14:textId="77777777" w:rsidR="005B6AA4" w:rsidRPr="005B6AA4" w:rsidRDefault="005B6AA4" w:rsidP="005B6AA4">
      <w:pPr>
        <w:shd w:val="clear" w:color="auto" w:fill="FFFFFF"/>
        <w:spacing w:after="0" w:line="240" w:lineRule="auto"/>
      </w:pPr>
    </w:p>
    <w:p w14:paraId="712621AE" w14:textId="38BEEFFE" w:rsidR="009C28DE" w:rsidRDefault="009C28DE" w:rsidP="005B6AA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</w:pPr>
      <w:proofErr w:type="spellStart"/>
      <w:r w:rsidRPr="005B6AA4">
        <w:rPr>
          <w:rFonts w:ascii="Arial" w:eastAsia="Times New Roman" w:hAnsi="Arial" w:cs="Arial"/>
          <w:kern w:val="0"/>
          <w:lang w:eastAsia="en-GB"/>
        </w:rPr>
        <w:t>Mcinally</w:t>
      </w:r>
      <w:proofErr w:type="spellEnd"/>
      <w:r w:rsidRPr="005B6AA4">
        <w:rPr>
          <w:rFonts w:ascii="Arial" w:eastAsia="Times New Roman" w:hAnsi="Arial" w:cs="Arial"/>
          <w:kern w:val="0"/>
          <w:lang w:eastAsia="en-GB"/>
        </w:rPr>
        <w:t xml:space="preserve">, W., </w:t>
      </w:r>
      <w:r w:rsidRPr="005B6AA4">
        <w:rPr>
          <w:rFonts w:ascii="Arial" w:eastAsia="Times New Roman" w:hAnsi="Arial" w:cs="Arial"/>
          <w:b/>
          <w:bCs/>
          <w:kern w:val="0"/>
          <w:lang w:eastAsia="en-GB"/>
        </w:rPr>
        <w:t>Gray-Brunton, C</w:t>
      </w:r>
      <w:r w:rsidRPr="005B6AA4">
        <w:rPr>
          <w:rFonts w:ascii="Arial" w:eastAsia="Times New Roman" w:hAnsi="Arial" w:cs="Arial"/>
          <w:kern w:val="0"/>
          <w:lang w:eastAsia="en-GB"/>
        </w:rPr>
        <w:t xml:space="preserve">., </w:t>
      </w:r>
      <w:proofErr w:type="spellStart"/>
      <w:r w:rsidRPr="005B6AA4">
        <w:rPr>
          <w:rFonts w:ascii="Arial" w:eastAsia="Times New Roman" w:hAnsi="Arial" w:cs="Arial"/>
          <w:kern w:val="0"/>
          <w:lang w:eastAsia="en-GB"/>
        </w:rPr>
        <w:t>Chouliara</w:t>
      </w:r>
      <w:proofErr w:type="spellEnd"/>
      <w:r w:rsidRPr="005B6AA4">
        <w:rPr>
          <w:rFonts w:ascii="Arial" w:eastAsia="Times New Roman" w:hAnsi="Arial" w:cs="Arial"/>
          <w:kern w:val="0"/>
          <w:lang w:eastAsia="en-GB"/>
        </w:rPr>
        <w:t>, Z., &amp; Kyle, R. G. (2021). Life Interrupted: Experiences of adolescents, young adults and their family living with malignant melanoma. Journal of Advanced Nursing, 77, 3867–3879. https://doi.org/10.1111/jan.14959</w:t>
      </w:r>
    </w:p>
    <w:p w14:paraId="5EE70420" w14:textId="68D60B2B" w:rsidR="009C28DE" w:rsidRDefault="009C28DE" w:rsidP="009C28DE">
      <w:pPr>
        <w:spacing w:after="0" w:line="240" w:lineRule="auto"/>
        <w:jc w:val="both"/>
        <w:rPr>
          <w:rFonts w:ascii="Arial" w:hAnsi="Arial" w:cs="Arial"/>
        </w:rPr>
      </w:pPr>
    </w:p>
    <w:p w14:paraId="0689C567" w14:textId="1199B490" w:rsidR="005B6AA4" w:rsidRDefault="005B6AA4" w:rsidP="009C28DE">
      <w:pPr>
        <w:spacing w:after="0" w:line="240" w:lineRule="auto"/>
        <w:jc w:val="both"/>
        <w:rPr>
          <w:rFonts w:ascii="Arial" w:hAnsi="Arial" w:cs="Arial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98EFD8" wp14:editId="3D47ADEF">
                <wp:simplePos x="0" y="0"/>
                <wp:positionH relativeFrom="column">
                  <wp:posOffset>50800</wp:posOffset>
                </wp:positionH>
                <wp:positionV relativeFrom="paragraph">
                  <wp:posOffset>44450</wp:posOffset>
                </wp:positionV>
                <wp:extent cx="5913120" cy="568960"/>
                <wp:effectExtent l="0" t="0" r="17780" b="15240"/>
                <wp:wrapNone/>
                <wp:docPr id="16738930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3120" cy="56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8A7B24" w14:textId="59E4CC66" w:rsidR="009C28DE" w:rsidRPr="005B6AA4" w:rsidRDefault="009C28D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B6AA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Examples of evaluations of Professional Nursing Role changes and Service evaluations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8EFD8" id="Text Box 5" o:spid="_x0000_s1031" type="#_x0000_t202" style="position:absolute;left:0;text-align:left;margin-left:4pt;margin-top:3.5pt;width:465.6pt;height:44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viI2OgIAAIMEAAAOAAAAZHJzL2Uyb0RvYy54bWysVE2PGjEMvVfqf4hyL8OwQBfEsKKsqCqh&#13;&#10;3ZXYas8hkzBRM3GaBGbor68Tvrc9Vb1k7Nh5tp/tmTy0tSY74bwCU9C806VEGA6lMpuCfn9dfLqn&#13;&#10;xAdmSqbBiILuhacP048fJo0dix5UoEvhCIIYP25sQasQ7DjLPK9EzXwHrDBolOBqFlB1m6x0rEH0&#13;&#10;Wme9bneYNeBK64AL7/H28WCk04QvpeDhWUovAtEFxdxCOl061/HMphM23jhmK8WPabB/yKJmymDQ&#13;&#10;M9QjC4xsnfoDqlbcgQcZOhzqDKRUXKQasJq8+66aVcWsSLUgOd6eafL/D5Y/7Vb2xZHQfoEWGxgJ&#13;&#10;aawfe7yM9bTS1fGLmRK0I4X7M22iDYTj5WCU3+U9NHG0DYb3o2HiNbu8ts6HrwJqEoWCOmxLYovt&#13;&#10;lj5gRHQ9ucRgHrQqF0rrpMRREHPtyI5hE3VIOeKLGy9tSFPQ4d2gm4BvbBH6/H6tGf8Rq7xFQE0b&#13;&#10;vLzUHqXQrluiSqzqxMsayj3S5eAwSd7yhUL4JfPhhTkcHaQB1yE84yE1YE5wlCipwP362330x46i&#13;&#10;lZIGR7Gg/ueWOUGJ/maw16O834+zm5T+4HOk2l1b1tcWs63ngETluHiWJzH6B30SpYP6DbdmFqOi&#13;&#10;iRmOsQsaTuI8HBYEt46L2Sw54bRaFpZmZXmEjo2JtL62b8zZY1sDDsQTnIaWjd919+AbXxqYbQNI&#13;&#10;lVofeT6weqQfJz1157iVcZWu9eR1+XdMfwMAAP//AwBQSwMEFAAGAAgAAAAhAL5tC5HeAAAACwEA&#13;&#10;AA8AAABkcnMvZG93bnJldi54bWxMj8tOwzAQRfdI/IM1SOyo0yKFJI1T8ShsWFEQazd2bavxOLLd&#13;&#10;NPw9w4pu5qGruXNPu5n9wCYdkwsoYLkogGnsg3JoBHx9vt5VwFKWqOQQUAv40Qk23fVVKxsVzvih&#13;&#10;p102jEwwNVKAzXlsOE+91V6mRRg1knYI0ctMazRcRXkmcz/wVVGU3EuH9MHKUT9b3R93Jy9g+2Rq&#13;&#10;01cy2m2lnJvm78O7eRPi9mZ+WVN5XAPLes7/F/DHQPmho2D7cEKV2CCgIpws4IEaqfV9vQK2p6Es&#13;&#10;gXctv2TofgEAAP//AwBQSwECLQAUAAYACAAAACEAtoM4kv4AAADhAQAAEwAAAAAAAAAAAAAAAAAA&#13;&#10;AAAAW0NvbnRlbnRfVHlwZXNdLnhtbFBLAQItABQABgAIAAAAIQA4/SH/1gAAAJQBAAALAAAAAAAA&#13;&#10;AAAAAAAAAC8BAABfcmVscy8ucmVsc1BLAQItABQABgAIAAAAIQC2viI2OgIAAIMEAAAOAAAAAAAA&#13;&#10;AAAAAAAAAC4CAABkcnMvZTJvRG9jLnhtbFBLAQItABQABgAIAAAAIQC+bQuR3gAAAAsBAAAPAAAA&#13;&#10;AAAAAAAAAAAAAJQEAABkcnMvZG93bnJldi54bWxQSwUGAAAAAAQABADzAAAAnwUAAAAA&#13;&#10;" fillcolor="white [3201]" strokeweight=".5pt">
                <v:textbox>
                  <w:txbxContent>
                    <w:p w14:paraId="718A7B24" w14:textId="59E4CC66" w:rsidR="009C28DE" w:rsidRPr="005B6AA4" w:rsidRDefault="009C28DE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5B6AA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Examples of evaluations of Professional Nursing Role changes and Service evaluations </w:t>
                      </w:r>
                    </w:p>
                  </w:txbxContent>
                </v:textbox>
              </v:shape>
            </w:pict>
          </mc:Fallback>
        </mc:AlternateContent>
      </w:r>
    </w:p>
    <w:p w14:paraId="73DC97B3" w14:textId="1422ADC0" w:rsidR="005B6AA4" w:rsidRDefault="005B6AA4" w:rsidP="009C28DE">
      <w:pPr>
        <w:spacing w:after="0" w:line="240" w:lineRule="auto"/>
        <w:jc w:val="both"/>
        <w:rPr>
          <w:rFonts w:ascii="Arial" w:hAnsi="Arial" w:cs="Arial"/>
        </w:rPr>
      </w:pPr>
    </w:p>
    <w:p w14:paraId="5B960152" w14:textId="26E45CBA" w:rsidR="005B6AA4" w:rsidRDefault="005B6AA4" w:rsidP="009C28DE">
      <w:pPr>
        <w:spacing w:after="0" w:line="240" w:lineRule="auto"/>
        <w:jc w:val="both"/>
        <w:rPr>
          <w:rFonts w:ascii="Arial" w:hAnsi="Arial" w:cs="Arial"/>
        </w:rPr>
      </w:pPr>
    </w:p>
    <w:p w14:paraId="325524B3" w14:textId="6EFB7B49" w:rsidR="005B6AA4" w:rsidRDefault="005B6AA4" w:rsidP="009C28DE">
      <w:pPr>
        <w:spacing w:after="0" w:line="240" w:lineRule="auto"/>
        <w:jc w:val="both"/>
        <w:rPr>
          <w:rFonts w:ascii="Arial" w:hAnsi="Arial" w:cs="Arial"/>
        </w:rPr>
      </w:pPr>
    </w:p>
    <w:p w14:paraId="3FFA67C3" w14:textId="5C7847D0" w:rsidR="005B6AA4" w:rsidRPr="005B6AA4" w:rsidRDefault="005B6AA4" w:rsidP="005B6AA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5B6AA4">
        <w:rPr>
          <w:rFonts w:ascii="Arial" w:eastAsia="Times New Roman" w:hAnsi="Arial" w:cs="Arial"/>
          <w:kern w:val="0"/>
          <w:lang w:eastAsia="en-GB"/>
        </w:rPr>
        <w:t>Mundy, J., and </w:t>
      </w:r>
      <w:r w:rsidRPr="005B6AA4">
        <w:rPr>
          <w:rFonts w:ascii="Arial" w:eastAsia="Times New Roman" w:hAnsi="Arial" w:cs="Arial"/>
          <w:b/>
          <w:bCs/>
          <w:kern w:val="0"/>
          <w:lang w:eastAsia="en-GB"/>
        </w:rPr>
        <w:t>Pow, J.</w:t>
      </w:r>
      <w:r w:rsidRPr="005B6AA4">
        <w:rPr>
          <w:rFonts w:ascii="Arial" w:eastAsia="Times New Roman" w:hAnsi="Arial" w:cs="Arial"/>
          <w:kern w:val="0"/>
          <w:lang w:eastAsia="en-GB"/>
        </w:rPr>
        <w:t> (2021). General practice nurses’ experiences of participation in advanced nursing practice education programme. </w:t>
      </w:r>
      <w:r w:rsidRPr="005B6AA4">
        <w:rPr>
          <w:rFonts w:ascii="Arial" w:eastAsia="Times New Roman" w:hAnsi="Arial" w:cs="Arial"/>
          <w:i/>
          <w:iCs/>
          <w:kern w:val="0"/>
          <w:lang w:eastAsia="en-GB"/>
        </w:rPr>
        <w:t>British Journal of Nursing (BJN), 30(16).</w:t>
      </w:r>
      <w:r w:rsidRPr="005B6AA4">
        <w:rPr>
          <w:rFonts w:ascii="Arial" w:eastAsia="Times New Roman" w:hAnsi="Arial" w:cs="Arial"/>
          <w:kern w:val="0"/>
          <w:lang w:eastAsia="en-GB"/>
        </w:rPr>
        <w:t xml:space="preserve"> </w:t>
      </w:r>
      <w:hyperlink r:id="rId18" w:history="1">
        <w:r w:rsidRPr="005B6AA4">
          <w:rPr>
            <w:rStyle w:val="Hyperlink"/>
            <w:rFonts w:ascii="Arial" w:eastAsia="Times New Roman" w:hAnsi="Arial" w:cs="Arial"/>
            <w:kern w:val="0"/>
            <w:lang w:eastAsia="en-GB"/>
          </w:rPr>
          <w:t>https://doi.org/10.12968/bjon.2021.30.16.964</w:t>
        </w:r>
      </w:hyperlink>
    </w:p>
    <w:p w14:paraId="13555CE1" w14:textId="767EFB64" w:rsidR="005B6AA4" w:rsidRPr="005B6AA4" w:rsidRDefault="005B6AA4" w:rsidP="005B6AA4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en-GB"/>
        </w:rPr>
      </w:pPr>
    </w:p>
    <w:p w14:paraId="2A03966C" w14:textId="26D77A0D" w:rsidR="005B6AA4" w:rsidRPr="005B6AA4" w:rsidRDefault="005B6AA4" w:rsidP="005B6AA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</w:rPr>
      </w:pPr>
      <w:proofErr w:type="spellStart"/>
      <w:r w:rsidRPr="005B6AA4">
        <w:rPr>
          <w:rFonts w:ascii="Arial" w:eastAsia="Times New Roman" w:hAnsi="Arial" w:cs="Arial"/>
          <w:kern w:val="0"/>
          <w:lang w:eastAsia="en-GB"/>
        </w:rPr>
        <w:t>Mcinally</w:t>
      </w:r>
      <w:proofErr w:type="spellEnd"/>
      <w:r w:rsidRPr="005B6AA4">
        <w:rPr>
          <w:rFonts w:ascii="Arial" w:eastAsia="Times New Roman" w:hAnsi="Arial" w:cs="Arial"/>
          <w:kern w:val="0"/>
          <w:lang w:eastAsia="en-GB"/>
        </w:rPr>
        <w:t xml:space="preserve">, W., </w:t>
      </w:r>
      <w:r w:rsidRPr="005B6AA4">
        <w:rPr>
          <w:rFonts w:ascii="Arial" w:eastAsia="Times New Roman" w:hAnsi="Arial" w:cs="Arial"/>
          <w:b/>
          <w:bCs/>
          <w:kern w:val="0"/>
          <w:lang w:eastAsia="en-GB"/>
        </w:rPr>
        <w:t>Gray-Brunton, C</w:t>
      </w:r>
      <w:r w:rsidRPr="005B6AA4">
        <w:rPr>
          <w:rFonts w:ascii="Arial" w:eastAsia="Times New Roman" w:hAnsi="Arial" w:cs="Arial"/>
          <w:kern w:val="0"/>
          <w:lang w:eastAsia="en-GB"/>
        </w:rPr>
        <w:t xml:space="preserve">., </w:t>
      </w:r>
      <w:proofErr w:type="spellStart"/>
      <w:r w:rsidRPr="005B6AA4">
        <w:rPr>
          <w:rFonts w:ascii="Arial" w:eastAsia="Times New Roman" w:hAnsi="Arial" w:cs="Arial"/>
          <w:kern w:val="0"/>
          <w:lang w:eastAsia="en-GB"/>
        </w:rPr>
        <w:t>Chouliara</w:t>
      </w:r>
      <w:proofErr w:type="spellEnd"/>
      <w:r w:rsidRPr="005B6AA4">
        <w:rPr>
          <w:rFonts w:ascii="Arial" w:eastAsia="Times New Roman" w:hAnsi="Arial" w:cs="Arial"/>
          <w:kern w:val="0"/>
          <w:lang w:eastAsia="en-GB"/>
        </w:rPr>
        <w:t xml:space="preserve">, Z., &amp; Kyle, R. G. (2021). Life Interrupted: Experiences of adolescents, young adults and their family living with malignant melanoma. </w:t>
      </w:r>
      <w:r w:rsidRPr="005B6AA4">
        <w:rPr>
          <w:rFonts w:ascii="Arial" w:eastAsia="Times New Roman" w:hAnsi="Arial" w:cs="Arial"/>
          <w:i/>
          <w:iCs/>
          <w:kern w:val="0"/>
          <w:lang w:eastAsia="en-GB"/>
        </w:rPr>
        <w:t>Journal of Advanced Nursing,</w:t>
      </w:r>
      <w:r w:rsidRPr="005B6AA4">
        <w:rPr>
          <w:rFonts w:ascii="Arial" w:eastAsia="Times New Roman" w:hAnsi="Arial" w:cs="Arial"/>
          <w:kern w:val="0"/>
          <w:lang w:eastAsia="en-GB"/>
        </w:rPr>
        <w:t xml:space="preserve"> 77, 3867–3879. </w:t>
      </w:r>
      <w:hyperlink r:id="rId19" w:history="1">
        <w:r w:rsidRPr="005B6AA4">
          <w:rPr>
            <w:rStyle w:val="Hyperlink"/>
            <w:rFonts w:ascii="Arial" w:eastAsia="Times New Roman" w:hAnsi="Arial" w:cs="Arial"/>
            <w:kern w:val="0"/>
            <w:lang w:eastAsia="en-GB"/>
          </w:rPr>
          <w:t>https://doi.org/10.1111/jan.14959</w:t>
        </w:r>
      </w:hyperlink>
    </w:p>
    <w:p w14:paraId="66AE63B5" w14:textId="3352FBFC" w:rsidR="005B6AA4" w:rsidRPr="005B6AA4" w:rsidRDefault="005B6AA4" w:rsidP="005B6AA4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en-GB"/>
        </w:rPr>
      </w:pPr>
    </w:p>
    <w:p w14:paraId="4B33F29E" w14:textId="72A729C0" w:rsidR="005B6AA4" w:rsidRPr="005B6AA4" w:rsidRDefault="005B6AA4" w:rsidP="005B6AA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5B6AA4">
        <w:rPr>
          <w:rFonts w:ascii="Arial" w:eastAsia="Times New Roman" w:hAnsi="Arial" w:cs="Arial"/>
          <w:kern w:val="0"/>
          <w:lang w:eastAsia="en-GB"/>
        </w:rPr>
        <w:t xml:space="preserve">Kennedy, C., Brooks Young, P., Nicol, J., Campbell, K. and </w:t>
      </w:r>
      <w:r w:rsidRPr="005B6AA4">
        <w:rPr>
          <w:rFonts w:ascii="Arial" w:eastAsia="Times New Roman" w:hAnsi="Arial" w:cs="Arial"/>
          <w:b/>
          <w:bCs/>
          <w:kern w:val="0"/>
          <w:lang w:eastAsia="en-GB"/>
        </w:rPr>
        <w:t>Gray Brunton, C</w:t>
      </w:r>
      <w:r w:rsidRPr="005B6AA4">
        <w:rPr>
          <w:rFonts w:ascii="Arial" w:eastAsia="Times New Roman" w:hAnsi="Arial" w:cs="Arial"/>
          <w:kern w:val="0"/>
          <w:lang w:eastAsia="en-GB"/>
        </w:rPr>
        <w:t xml:space="preserve">. (2015), Fluid role boundaries: exploring the contribution of the advanced nurse practitioner to multi-professional palliative care. Journal of Clinical Nursing, 24: 3296-3305. </w:t>
      </w:r>
      <w:hyperlink r:id="rId20" w:history="1">
        <w:r w:rsidRPr="005B6AA4">
          <w:rPr>
            <w:rStyle w:val="Hyperlink"/>
            <w:rFonts w:ascii="Arial" w:eastAsia="Times New Roman" w:hAnsi="Arial" w:cs="Arial"/>
            <w:color w:val="auto"/>
            <w:kern w:val="0"/>
            <w:lang w:eastAsia="en-GB"/>
          </w:rPr>
          <w:t>https://doi.org/10.1111/jocn.12950</w:t>
        </w:r>
      </w:hyperlink>
    </w:p>
    <w:p w14:paraId="22EF6567" w14:textId="545016FA" w:rsidR="005B6AA4" w:rsidRPr="005B6AA4" w:rsidRDefault="005B6AA4" w:rsidP="005B6AA4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en-GB"/>
        </w:rPr>
      </w:pPr>
    </w:p>
    <w:p w14:paraId="5511D744" w14:textId="13FE38B9" w:rsidR="005B6AA4" w:rsidRPr="005B6AA4" w:rsidRDefault="005B6AA4" w:rsidP="005B6AA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5B6AA4">
        <w:rPr>
          <w:rFonts w:ascii="Arial" w:hAnsi="Arial" w:cs="Arial"/>
          <w:shd w:val="clear" w:color="auto" w:fill="FFFFFF"/>
        </w:rPr>
        <w:t xml:space="preserve">Kennedy, C., </w:t>
      </w:r>
      <w:r w:rsidRPr="005B6AA4">
        <w:rPr>
          <w:rFonts w:ascii="Arial" w:hAnsi="Arial" w:cs="Arial"/>
          <w:b/>
          <w:bCs/>
          <w:shd w:val="clear" w:color="auto" w:fill="FFFFFF"/>
        </w:rPr>
        <w:t>Gray Brunton,</w:t>
      </w:r>
      <w:r w:rsidRPr="005B6AA4">
        <w:rPr>
          <w:rFonts w:ascii="Arial" w:hAnsi="Arial" w:cs="Arial"/>
          <w:shd w:val="clear" w:color="auto" w:fill="FFFFFF"/>
        </w:rPr>
        <w:t xml:space="preserve"> C. &amp; Hogg, R. ‘Just that Little Bit of Doubt’: Scottish Parents', Teenage Girls' and Health Professionals' Views of the MMR, H1N1 and HPV Vaccines. </w:t>
      </w:r>
      <w:proofErr w:type="spellStart"/>
      <w:r w:rsidRPr="005B6AA4">
        <w:rPr>
          <w:rFonts w:ascii="Arial" w:hAnsi="Arial" w:cs="Arial"/>
          <w:i/>
          <w:iCs/>
          <w:shd w:val="clear" w:color="auto" w:fill="FFFFFF"/>
        </w:rPr>
        <w:t>Int.J</w:t>
      </w:r>
      <w:proofErr w:type="spellEnd"/>
      <w:r w:rsidRPr="005B6AA4">
        <w:rPr>
          <w:rFonts w:ascii="Arial" w:hAnsi="Arial" w:cs="Arial"/>
          <w:i/>
          <w:iCs/>
          <w:shd w:val="clear" w:color="auto" w:fill="FFFFFF"/>
        </w:rPr>
        <w:t xml:space="preserve">. </w:t>
      </w:r>
      <w:proofErr w:type="spellStart"/>
      <w:r w:rsidRPr="005B6AA4">
        <w:rPr>
          <w:rFonts w:ascii="Arial" w:hAnsi="Arial" w:cs="Arial"/>
          <w:i/>
          <w:iCs/>
          <w:shd w:val="clear" w:color="auto" w:fill="FFFFFF"/>
        </w:rPr>
        <w:t>Behav</w:t>
      </w:r>
      <w:proofErr w:type="spellEnd"/>
      <w:r w:rsidRPr="005B6AA4">
        <w:rPr>
          <w:rFonts w:ascii="Arial" w:hAnsi="Arial" w:cs="Arial"/>
          <w:i/>
          <w:iCs/>
          <w:shd w:val="clear" w:color="auto" w:fill="FFFFFF"/>
        </w:rPr>
        <w:t>. Med.</w:t>
      </w:r>
      <w:r w:rsidRPr="005B6AA4">
        <w:rPr>
          <w:rFonts w:ascii="Arial" w:hAnsi="Arial" w:cs="Arial"/>
          <w:shd w:val="clear" w:color="auto" w:fill="FFFFFF"/>
        </w:rPr>
        <w:t> </w:t>
      </w:r>
      <w:r w:rsidRPr="005B6AA4">
        <w:rPr>
          <w:rFonts w:ascii="Arial" w:hAnsi="Arial" w:cs="Arial"/>
          <w:b/>
          <w:bCs/>
          <w:shd w:val="clear" w:color="auto" w:fill="FFFFFF"/>
        </w:rPr>
        <w:t>21</w:t>
      </w:r>
      <w:r w:rsidRPr="005B6AA4">
        <w:rPr>
          <w:rFonts w:ascii="Arial" w:hAnsi="Arial" w:cs="Arial"/>
          <w:shd w:val="clear" w:color="auto" w:fill="FFFFFF"/>
        </w:rPr>
        <w:t xml:space="preserve">, 3–10 (2014). </w:t>
      </w:r>
      <w:hyperlink r:id="rId21" w:history="1">
        <w:r w:rsidRPr="005B6AA4">
          <w:rPr>
            <w:rStyle w:val="Hyperlink"/>
            <w:rFonts w:ascii="Arial" w:hAnsi="Arial" w:cs="Arial"/>
            <w:color w:val="auto"/>
            <w:shd w:val="clear" w:color="auto" w:fill="FFFFFF"/>
          </w:rPr>
          <w:t>https://doi.org/10.1007/s12529-013-9356-4</w:t>
        </w:r>
      </w:hyperlink>
    </w:p>
    <w:p w14:paraId="287C240C" w14:textId="77777777" w:rsidR="005B6AA4" w:rsidRPr="005B6AA4" w:rsidRDefault="005B6AA4" w:rsidP="005B6AA4">
      <w:pPr>
        <w:shd w:val="clear" w:color="auto" w:fill="FFFFFF"/>
        <w:spacing w:after="0" w:line="240" w:lineRule="auto"/>
        <w:rPr>
          <w:rFonts w:ascii="Arial" w:hAnsi="Arial" w:cs="Arial"/>
          <w:shd w:val="clear" w:color="auto" w:fill="FFFFFF"/>
        </w:rPr>
      </w:pPr>
    </w:p>
    <w:p w14:paraId="3D7F99C1" w14:textId="7F3A66C1" w:rsidR="005B6AA4" w:rsidRPr="005B6AA4" w:rsidRDefault="005B6AA4" w:rsidP="005B6AA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5B6AA4">
        <w:rPr>
          <w:rFonts w:ascii="Arial" w:eastAsia="Times New Roman" w:hAnsi="Arial" w:cs="Arial"/>
          <w:b/>
          <w:bCs/>
          <w:kern w:val="0"/>
          <w:lang w:eastAsia="en-GB"/>
        </w:rPr>
        <w:t>Gray, C.,</w:t>
      </w:r>
      <w:r w:rsidRPr="005B6AA4">
        <w:rPr>
          <w:rFonts w:ascii="Arial" w:eastAsia="Times New Roman" w:hAnsi="Arial" w:cs="Arial"/>
          <w:kern w:val="0"/>
          <w:lang w:eastAsia="en-GB"/>
        </w:rPr>
        <w:t xml:space="preserve"> Hogg, R. and Kennedy, C. (2011), Professional boundary work in the face of change to generalist working in community nursing in Scotland. Journal of Advanced Nursing, 67: 1695-1704. </w:t>
      </w:r>
      <w:hyperlink r:id="rId22" w:history="1">
        <w:r w:rsidRPr="005B6AA4">
          <w:rPr>
            <w:rStyle w:val="Hyperlink"/>
            <w:rFonts w:ascii="Arial" w:eastAsia="Times New Roman" w:hAnsi="Arial" w:cs="Arial"/>
            <w:color w:val="auto"/>
            <w:kern w:val="0"/>
            <w:lang w:eastAsia="en-GB"/>
          </w:rPr>
          <w:t>https://doi.org/10.1111/j.1365-2648.2010.05601.x</w:t>
        </w:r>
      </w:hyperlink>
    </w:p>
    <w:p w14:paraId="633A6032" w14:textId="001343E4" w:rsidR="005B6AA4" w:rsidRPr="005B6AA4" w:rsidRDefault="005B6AA4" w:rsidP="005B6AA4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en-GB"/>
        </w:rPr>
      </w:pPr>
    </w:p>
    <w:p w14:paraId="51894B42" w14:textId="08422B2D" w:rsidR="005B6AA4" w:rsidRPr="005B6AA4" w:rsidRDefault="005B6AA4" w:rsidP="005B6AA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5B6AA4">
        <w:rPr>
          <w:rFonts w:ascii="Arial" w:eastAsia="Times New Roman" w:hAnsi="Arial" w:cs="Arial"/>
          <w:kern w:val="0"/>
          <w:lang w:eastAsia="en-GB"/>
        </w:rPr>
        <w:t xml:space="preserve">Hogg, R., Kennedy, C., </w:t>
      </w:r>
      <w:r w:rsidRPr="005B6AA4">
        <w:rPr>
          <w:rFonts w:ascii="Arial" w:eastAsia="Times New Roman" w:hAnsi="Arial" w:cs="Arial"/>
          <w:b/>
          <w:bCs/>
          <w:kern w:val="0"/>
          <w:lang w:eastAsia="en-GB"/>
        </w:rPr>
        <w:t>Gray, C</w:t>
      </w:r>
      <w:r w:rsidRPr="005B6AA4">
        <w:rPr>
          <w:rFonts w:ascii="Arial" w:eastAsia="Times New Roman" w:hAnsi="Arial" w:cs="Arial"/>
          <w:kern w:val="0"/>
          <w:lang w:eastAsia="en-GB"/>
        </w:rPr>
        <w:t xml:space="preserve">. and Hanley, J. (2013), Supporting the case for ‘progressive universalism’ in health visiting: Scottish mothers and health </w:t>
      </w:r>
      <w:r w:rsidRPr="005B6AA4">
        <w:rPr>
          <w:rFonts w:ascii="Arial" w:eastAsia="Times New Roman" w:hAnsi="Arial" w:cs="Arial"/>
          <w:kern w:val="0"/>
          <w:lang w:eastAsia="en-GB"/>
        </w:rPr>
        <w:lastRenderedPageBreak/>
        <w:t xml:space="preserve">visitors’ perspectives on targeting and rationing health visiting services, with a focus on the Lothian Child Concern Model. Journal of Clinical Nursing, 22: 240-250. </w:t>
      </w:r>
      <w:hyperlink r:id="rId23" w:history="1">
        <w:r w:rsidRPr="005B6AA4">
          <w:rPr>
            <w:rStyle w:val="Hyperlink"/>
            <w:rFonts w:ascii="Arial" w:eastAsia="Times New Roman" w:hAnsi="Arial" w:cs="Arial"/>
            <w:color w:val="auto"/>
            <w:kern w:val="0"/>
            <w:lang w:eastAsia="en-GB"/>
          </w:rPr>
          <w:t>https://doi.org/10.1111/j.1365-2702.2012.04224.x</w:t>
        </w:r>
      </w:hyperlink>
    </w:p>
    <w:p w14:paraId="1B190ECD" w14:textId="668AA0DB" w:rsidR="005B6AA4" w:rsidRPr="005B6AA4" w:rsidRDefault="005B6AA4" w:rsidP="005B6AA4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en-GB"/>
        </w:rPr>
      </w:pPr>
    </w:p>
    <w:p w14:paraId="2B599090" w14:textId="073DD02A" w:rsidR="005B6AA4" w:rsidRPr="005B6AA4" w:rsidRDefault="005B6AA4" w:rsidP="005B6AA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5B6AA4">
        <w:rPr>
          <w:rFonts w:ascii="Arial" w:hAnsi="Arial" w:cs="Arial"/>
          <w:b/>
          <w:bCs/>
          <w:color w:val="333333"/>
          <w:shd w:val="clear" w:color="auto" w:fill="FFFFFF"/>
        </w:rPr>
        <w:t>Pow J</w:t>
      </w:r>
      <w:r w:rsidRPr="005B6AA4">
        <w:rPr>
          <w:rFonts w:ascii="Arial" w:hAnsi="Arial" w:cs="Arial"/>
          <w:color w:val="333333"/>
          <w:shd w:val="clear" w:color="auto" w:fill="FFFFFF"/>
        </w:rPr>
        <w:t xml:space="preserve">, Elliott L, Raeside R, </w:t>
      </w:r>
      <w:proofErr w:type="spellStart"/>
      <w:r w:rsidRPr="005B6AA4">
        <w:rPr>
          <w:rFonts w:ascii="Arial" w:hAnsi="Arial" w:cs="Arial"/>
          <w:color w:val="333333"/>
          <w:shd w:val="clear" w:color="auto" w:fill="FFFFFF"/>
        </w:rPr>
        <w:t>Claveirole</w:t>
      </w:r>
      <w:proofErr w:type="spellEnd"/>
      <w:r w:rsidRPr="005B6AA4">
        <w:rPr>
          <w:rFonts w:ascii="Arial" w:hAnsi="Arial" w:cs="Arial"/>
          <w:color w:val="333333"/>
          <w:shd w:val="clear" w:color="auto" w:fill="FFFFFF"/>
        </w:rPr>
        <w:t xml:space="preserve"> A, </w:t>
      </w:r>
      <w:proofErr w:type="spellStart"/>
      <w:r w:rsidRPr="005B6AA4">
        <w:rPr>
          <w:rFonts w:ascii="Arial" w:hAnsi="Arial" w:cs="Arial"/>
          <w:color w:val="333333"/>
          <w:shd w:val="clear" w:color="auto" w:fill="FFFFFF"/>
        </w:rPr>
        <w:t>Themessl</w:t>
      </w:r>
      <w:proofErr w:type="spellEnd"/>
      <w:r w:rsidRPr="005B6AA4">
        <w:rPr>
          <w:rFonts w:ascii="Arial" w:hAnsi="Arial" w:cs="Arial"/>
          <w:color w:val="333333"/>
          <w:shd w:val="clear" w:color="auto" w:fill="FFFFFF"/>
        </w:rPr>
        <w:t xml:space="preserve">-Huber M. (2013) Partnership working and improved service delivery: views of staff providing sexual health services. </w:t>
      </w:r>
      <w:r w:rsidRPr="005B6AA4">
        <w:rPr>
          <w:rFonts w:ascii="Arial" w:hAnsi="Arial" w:cs="Arial"/>
          <w:i/>
          <w:iCs/>
          <w:color w:val="333333"/>
          <w:shd w:val="clear" w:color="auto" w:fill="FFFFFF"/>
        </w:rPr>
        <w:t>Journal of Health Services Research and Policy</w:t>
      </w:r>
      <w:r w:rsidRPr="005B6AA4">
        <w:rPr>
          <w:rFonts w:ascii="Arial" w:hAnsi="Arial" w:cs="Arial"/>
          <w:color w:val="333333"/>
          <w:shd w:val="clear" w:color="auto" w:fill="FFFFFF"/>
        </w:rPr>
        <w:t>. Published online and open access 2nd May 2013 DOI: 10.1177/1355819612473584</w:t>
      </w:r>
    </w:p>
    <w:p w14:paraId="260B9FBC" w14:textId="1194EE8A" w:rsidR="005B6AA4" w:rsidRPr="005B6AA4" w:rsidRDefault="005B6AA4" w:rsidP="005B6AA4">
      <w:pPr>
        <w:pStyle w:val="NormalWeb"/>
        <w:shd w:val="clear" w:color="auto" w:fill="FFFFFF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26FBA459" w14:textId="7F921639" w:rsidR="005B6AA4" w:rsidRPr="005B6AA4" w:rsidRDefault="005B6AA4" w:rsidP="005B6AA4">
      <w:pPr>
        <w:pStyle w:val="NormalWeb"/>
        <w:numPr>
          <w:ilvl w:val="0"/>
          <w:numId w:val="5"/>
        </w:numPr>
        <w:shd w:val="clear" w:color="auto" w:fill="FFFFFF"/>
        <w:spacing w:before="0" w:after="0"/>
        <w:rPr>
          <w:rFonts w:ascii="Arial" w:hAnsi="Arial" w:cs="Arial"/>
        </w:rPr>
      </w:pPr>
      <w:r w:rsidRPr="005B6AA4">
        <w:rPr>
          <w:rFonts w:ascii="Arial" w:hAnsi="Arial" w:cs="Arial"/>
        </w:rPr>
        <w:t>Elliott, Lawrie., Rome, Andrew., Cameron, Shona., Currie, Margaret., </w:t>
      </w:r>
      <w:r w:rsidRPr="005B6AA4">
        <w:rPr>
          <w:rFonts w:ascii="Arial" w:hAnsi="Arial" w:cs="Arial"/>
          <w:b/>
          <w:bCs/>
        </w:rPr>
        <w:t>Pow, Janette S.,</w:t>
      </w:r>
      <w:r w:rsidRPr="005B6AA4">
        <w:rPr>
          <w:rFonts w:ascii="Arial" w:hAnsi="Arial" w:cs="Arial"/>
        </w:rPr>
        <w:t xml:space="preserve"> Mackenzie-Baker, Maheshika. Study of the implementation of a new community health nurse role in Scotland (2012). Scottish Government Social Research. </w:t>
      </w:r>
      <w:hyperlink r:id="rId24" w:history="1">
        <w:r w:rsidRPr="005B6AA4">
          <w:rPr>
            <w:rStyle w:val="Hyperlink"/>
            <w:rFonts w:ascii="Arial" w:hAnsi="Arial" w:cs="Arial"/>
          </w:rPr>
          <w:t>https://www.gov.scot/publications/study-implementation-new-community-health-nurse-role-scotland/pages/0/</w:t>
        </w:r>
      </w:hyperlink>
    </w:p>
    <w:p w14:paraId="1EDCB4E3" w14:textId="61744658" w:rsidR="005B6AA4" w:rsidRPr="005B6AA4" w:rsidRDefault="005B6AA4" w:rsidP="005B6AA4">
      <w:pPr>
        <w:pStyle w:val="NormalWeb"/>
        <w:shd w:val="clear" w:color="auto" w:fill="FFFFFF"/>
        <w:spacing w:before="0" w:after="0"/>
        <w:rPr>
          <w:rFonts w:ascii="Arial" w:hAnsi="Arial" w:cs="Arial"/>
        </w:rPr>
      </w:pPr>
    </w:p>
    <w:p w14:paraId="1414380B" w14:textId="6AC1C9BA" w:rsidR="005B6AA4" w:rsidRPr="005B6AA4" w:rsidRDefault="005B6AA4" w:rsidP="005B6AA4">
      <w:pPr>
        <w:pStyle w:val="NormalWeb"/>
        <w:numPr>
          <w:ilvl w:val="0"/>
          <w:numId w:val="5"/>
        </w:numPr>
        <w:shd w:val="clear" w:color="auto" w:fill="FFFFFF"/>
        <w:spacing w:before="0" w:after="0"/>
        <w:rPr>
          <w:rFonts w:ascii="Arial" w:hAnsi="Arial" w:cs="Arial"/>
        </w:rPr>
      </w:pPr>
      <w:r w:rsidRPr="005B6AA4">
        <w:rPr>
          <w:rFonts w:ascii="Arial" w:hAnsi="Arial" w:cs="Arial"/>
        </w:rPr>
        <w:t xml:space="preserve">Elliott, Lawrie.; Henderson, M.; Wight, Daniel.; Nixon, Catherine.; </w:t>
      </w:r>
      <w:proofErr w:type="spellStart"/>
      <w:r w:rsidRPr="005B6AA4">
        <w:rPr>
          <w:rFonts w:ascii="Arial" w:hAnsi="Arial" w:cs="Arial"/>
        </w:rPr>
        <w:t>Claveirole</w:t>
      </w:r>
      <w:proofErr w:type="spellEnd"/>
      <w:r w:rsidRPr="005B6AA4">
        <w:rPr>
          <w:rFonts w:ascii="Arial" w:hAnsi="Arial" w:cs="Arial"/>
        </w:rPr>
        <w:t>, Anne.; Raab, Gillian.; </w:t>
      </w:r>
      <w:r w:rsidRPr="005B6AA4">
        <w:rPr>
          <w:rFonts w:ascii="Arial" w:hAnsi="Arial" w:cs="Arial"/>
          <w:b/>
          <w:bCs/>
        </w:rPr>
        <w:t>Pow, Janette S.;</w:t>
      </w:r>
      <w:r w:rsidRPr="005B6AA4">
        <w:rPr>
          <w:rFonts w:ascii="Arial" w:hAnsi="Arial" w:cs="Arial"/>
        </w:rPr>
        <w:t xml:space="preserve"> Martin, C.; Miller, Martine.; Storkey, H.; Rowlands, B.; Birch, A.; Burston, A.; </w:t>
      </w:r>
      <w:proofErr w:type="spellStart"/>
      <w:r w:rsidRPr="005B6AA4">
        <w:rPr>
          <w:rFonts w:ascii="Arial" w:hAnsi="Arial" w:cs="Arial"/>
        </w:rPr>
        <w:t>Thermessl</w:t>
      </w:r>
      <w:proofErr w:type="spellEnd"/>
      <w:r w:rsidRPr="005B6AA4">
        <w:rPr>
          <w:rFonts w:ascii="Arial" w:hAnsi="Arial" w:cs="Arial"/>
        </w:rPr>
        <w:t xml:space="preserve">-Huber, Markus.; </w:t>
      </w:r>
      <w:proofErr w:type="spellStart"/>
      <w:r w:rsidRPr="005B6AA4">
        <w:rPr>
          <w:rFonts w:ascii="Arial" w:hAnsi="Arial" w:cs="Arial"/>
        </w:rPr>
        <w:t>Burtney</w:t>
      </w:r>
      <w:proofErr w:type="spellEnd"/>
      <w:r w:rsidRPr="005B6AA4">
        <w:rPr>
          <w:rFonts w:ascii="Arial" w:hAnsi="Arial" w:cs="Arial"/>
        </w:rPr>
        <w:t>, L. Evaluation of the Healthy Respect Phase Two: Final Report (2010)</w:t>
      </w:r>
    </w:p>
    <w:p w14:paraId="724B29E7" w14:textId="23DB7970" w:rsidR="009C28DE" w:rsidRDefault="009C28DE"/>
    <w:p w14:paraId="08846677" w14:textId="77777777" w:rsidR="005722EE" w:rsidRDefault="005722EE"/>
    <w:p w14:paraId="06301540" w14:textId="77777777" w:rsidR="005722EE" w:rsidRDefault="005722EE"/>
    <w:p w14:paraId="46797C03" w14:textId="77777777" w:rsidR="005722EE" w:rsidRDefault="005722EE"/>
    <w:p w14:paraId="70E283A6" w14:textId="77777777" w:rsidR="005722EE" w:rsidRDefault="005722EE"/>
    <w:p w14:paraId="30004FFE" w14:textId="77777777" w:rsidR="005722EE" w:rsidRDefault="005722EE"/>
    <w:p w14:paraId="65E31E75" w14:textId="77777777" w:rsidR="005722EE" w:rsidRDefault="005722EE"/>
    <w:p w14:paraId="0813B388" w14:textId="77777777" w:rsidR="005722EE" w:rsidRDefault="005722EE"/>
    <w:p w14:paraId="4C98F7FE" w14:textId="77777777" w:rsidR="005722EE" w:rsidRDefault="005722EE"/>
    <w:p w14:paraId="66651F58" w14:textId="77777777" w:rsidR="005722EE" w:rsidRDefault="005722EE"/>
    <w:p w14:paraId="01B216AF" w14:textId="3C6EB0D1" w:rsidR="005722EE" w:rsidRDefault="005722EE">
      <w:r w:rsidRPr="005722EE">
        <w:drawing>
          <wp:inline distT="0" distB="0" distL="0" distR="0" wp14:anchorId="7D8219AA" wp14:editId="031F8380">
            <wp:extent cx="5461000" cy="1422400"/>
            <wp:effectExtent l="0" t="0" r="0" b="0"/>
            <wp:docPr id="435985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854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22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110F0A"/>
    <w:multiLevelType w:val="multilevel"/>
    <w:tmpl w:val="6944ADC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8020033"/>
    <w:multiLevelType w:val="multilevel"/>
    <w:tmpl w:val="A2F06E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3A447CC"/>
    <w:multiLevelType w:val="multilevel"/>
    <w:tmpl w:val="2FCABB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34A3257"/>
    <w:multiLevelType w:val="multilevel"/>
    <w:tmpl w:val="FF0E6A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3E736AA"/>
    <w:multiLevelType w:val="hybridMultilevel"/>
    <w:tmpl w:val="8F88F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978433">
    <w:abstractNumId w:val="0"/>
  </w:num>
  <w:num w:numId="2" w16cid:durableId="38558069">
    <w:abstractNumId w:val="2"/>
  </w:num>
  <w:num w:numId="3" w16cid:durableId="2013875867">
    <w:abstractNumId w:val="1"/>
  </w:num>
  <w:num w:numId="4" w16cid:durableId="355884864">
    <w:abstractNumId w:val="3"/>
  </w:num>
  <w:num w:numId="5" w16cid:durableId="126510923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DE"/>
    <w:rsid w:val="00017C98"/>
    <w:rsid w:val="003268A0"/>
    <w:rsid w:val="005722EE"/>
    <w:rsid w:val="005844EA"/>
    <w:rsid w:val="005B6AA4"/>
    <w:rsid w:val="009C28DE"/>
    <w:rsid w:val="00B20C61"/>
    <w:rsid w:val="00D1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D925A"/>
  <w15:chartTrackingRefBased/>
  <w15:docId w15:val="{BB4EDB41-7852-DD43-A159-2B39B67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8DE"/>
    <w:pPr>
      <w:suppressAutoHyphens/>
      <w:autoSpaceDN w:val="0"/>
      <w:spacing w:after="160" w:line="276" w:lineRule="auto"/>
    </w:pPr>
    <w:rPr>
      <w:rFonts w:ascii="Aptos" w:eastAsia="Aptos" w:hAnsi="Aptos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2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8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8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8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8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8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8DE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9C2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8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9C28DE"/>
    <w:rPr>
      <w:color w:val="467886"/>
      <w:u w:val="single"/>
    </w:rPr>
  </w:style>
  <w:style w:type="paragraph" w:styleId="NormalWeb">
    <w:name w:val="Normal (Web)"/>
    <w:basedOn w:val="Normal"/>
    <w:rsid w:val="005B6AA4"/>
    <w:pPr>
      <w:spacing w:before="100" w:after="100" w:line="240" w:lineRule="auto"/>
    </w:pPr>
    <w:rPr>
      <w:rFonts w:ascii="Times New Roman" w:eastAsia="Times New Roman" w:hAnsi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care.bmj.com/content/4/3/263" TargetMode="External"/><Relationship Id="rId13" Type="http://schemas.openxmlformats.org/officeDocument/2006/relationships/hyperlink" Target="https://doi.org/10.1080/21645515.2025.2478705" TargetMode="External"/><Relationship Id="rId18" Type="http://schemas.openxmlformats.org/officeDocument/2006/relationships/hyperlink" Target="https://doi.org/10.12968/bjon.2021.30.16.96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i.org/10.1007/s12529-013-9356-4" TargetMode="External"/><Relationship Id="rId7" Type="http://schemas.openxmlformats.org/officeDocument/2006/relationships/hyperlink" Target="https://www.sciencedirect.com/science/article/abs/pii/S2445147921000631" TargetMode="External"/><Relationship Id="rId12" Type="http://schemas.openxmlformats.org/officeDocument/2006/relationships/hyperlink" Target="https://doi.org/10.1080/21645515.2025.2491857" TargetMode="External"/><Relationship Id="rId17" Type="http://schemas.openxmlformats.org/officeDocument/2006/relationships/hyperlink" Target="https://doi.org/10.1111/j.1365-2702.2011.04036.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177/0017896916685592" TargetMode="External"/><Relationship Id="rId20" Type="http://schemas.openxmlformats.org/officeDocument/2006/relationships/hyperlink" Target="https://doi.org/10.1111/jocn.129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80/21645515.2025.2490440" TargetMode="External"/><Relationship Id="rId11" Type="http://schemas.openxmlformats.org/officeDocument/2006/relationships/hyperlink" Target="https://doi.org/10.1080/21645515.2025.2490440" TargetMode="External"/><Relationship Id="rId24" Type="http://schemas.openxmlformats.org/officeDocument/2006/relationships/hyperlink" Target="https://www.gov.scot/publications/study-implementation-new-community-health-nurse-role-scotland/pages/0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i.org/10.4135/9781526440235" TargetMode="External"/><Relationship Id="rId23" Type="http://schemas.openxmlformats.org/officeDocument/2006/relationships/hyperlink" Target="https://doi.org/10.1111/j.1365-2702.2012.04224.x" TargetMode="External"/><Relationship Id="rId10" Type="http://schemas.openxmlformats.org/officeDocument/2006/relationships/hyperlink" Target="https://doi.org/10.1007/s12529-025-10387-6" TargetMode="External"/><Relationship Id="rId19" Type="http://schemas.openxmlformats.org/officeDocument/2006/relationships/hyperlink" Target="https://doi.org/10.1111/jan.149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21645515.2025.2478705" TargetMode="External"/><Relationship Id="rId14" Type="http://schemas.openxmlformats.org/officeDocument/2006/relationships/hyperlink" Target="https://ebn.bmj.com/content/ebnurs/24/3/71.full.pdf" TargetMode="External"/><Relationship Id="rId22" Type="http://schemas.openxmlformats.org/officeDocument/2006/relationships/hyperlink" Target="https://doi.org/10.1111/j.1365-2648.2010.05601.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1045</Words>
  <Characters>7379</Characters>
  <Application>Microsoft Office Word</Application>
  <DocSecurity>0</DocSecurity>
  <Lines>184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Pow</dc:creator>
  <cp:keywords/>
  <dc:description/>
  <cp:lastModifiedBy>Janette Pow</cp:lastModifiedBy>
  <cp:revision>2</cp:revision>
  <dcterms:created xsi:type="dcterms:W3CDTF">2026-07-10T14:48:00Z</dcterms:created>
  <dcterms:modified xsi:type="dcterms:W3CDTF">2026-07-10T15:19:00Z</dcterms:modified>
</cp:coreProperties>
</file>